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21"/>
        <w:ind w:left="0" w:right="0" w:firstLine="709"/>
        <w:jc w:val="right"/>
        <w:rPr>
          <w:rFonts w:ascii="Tempora LGC Uni" w:hAnsi="Tempora LGC Uni" w:cs="Tempora LGC Uni"/>
          <w:color w:val="000000" w:themeColor="text1"/>
          <w:highlight w:val="none"/>
        </w:rPr>
      </w:pPr>
      <w:r>
        <w:rPr>
          <w:shd w:val="clear" w:fill="auto"/>
        </w:rPr>
        <w:tab/>
        <w:tab/>
        <w:tab/>
        <w:tab/>
      </w:r>
      <w:r>
        <w:rPr>
          <w:rFonts w:ascii="Tempora LGC Uni" w:hAnsi="Tempora LGC Uni" w:eastAsia="Tempora LGC Uni" w:cs="Tempora LGC Uni"/>
          <w:color w:val="000000" w:themeColor="text1"/>
          <w:szCs w:val="24"/>
        </w:rPr>
        <w:t xml:space="preserve">     Приложение </w:t>
      </w:r>
    </w:p>
    <w:p>
      <w:pPr>
        <w:pStyle w:val="21"/>
        <w:ind w:left="0" w:right="0" w:firstLine="709"/>
        <w:jc w:val="right"/>
        <w:rPr>
          <w:rFonts w:ascii="Tempora LGC Uni" w:hAnsi="Tempora LGC Uni" w:eastAsia="Tempora LGC Uni" w:cs="Tempora LGC Uni"/>
          <w:color w:val="000000" w:themeColor="text1"/>
          <w:highlight w:val="none"/>
        </w:rPr>
      </w:pPr>
      <w:r>
        <w:rPr>
          <w:rFonts w:ascii="Tempora LGC Uni" w:hAnsi="Tempora LGC Uni" w:eastAsia="Tempora LGC Uni" w:cs="Tempora LGC Uni"/>
          <w:color w:val="000000" w:themeColor="text1"/>
          <w:szCs w:val="24"/>
        </w:rPr>
        <w:t xml:space="preserve">                                                                                               </w:t>
      </w:r>
      <w:r>
        <w:rPr>
          <w:rFonts w:ascii="Tempora LGC Uni" w:hAnsi="Tempora LGC Uni" w:eastAsia="Tempora LGC Uni" w:cs="Tempora LGC Uni"/>
          <w:color w:val="000000" w:themeColor="text1"/>
          <w:szCs w:val="24"/>
        </w:rPr>
        <w:t xml:space="preserve">к приказу ПАО «ОГК-2»</w:t>
      </w:r>
      <w:r>
        <w:rPr>
          <w:rFonts w:ascii="Tempora LGC Uni" w:hAnsi="Tempora LGC Uni" w:eastAsia="Tempora LGC Uni" w:cs="Tempora LGC Uni"/>
          <w:color w:val="000000" w:themeColor="text1"/>
        </w:rPr>
        <w:t xml:space="preserve"> </w:t>
      </w:r>
    </w:p>
    <w:p>
      <w:pPr>
        <w:pStyle w:val="21"/>
        <w:ind w:left="0" w:right="0" w:firstLine="709"/>
        <w:jc w:val="right"/>
        <w:rPr>
          <w:rFonts w:ascii="Tempora LGC Uni" w:hAnsi="Tempora LGC Uni" w:cs="Tempora LGC Uni"/>
          <w:color w:val="000000" w:themeColor="text1"/>
          <w:highlight w:val="none"/>
        </w:rPr>
      </w:pPr>
      <w:r>
        <w:rPr>
          <w:rFonts w:ascii="Tempora LGC Uni" w:hAnsi="Tempora LGC Uni" w:eastAsia="Tempora LGC Uni" w:cs="Tempora LGC Uni"/>
          <w:color w:val="000000" w:themeColor="text1"/>
        </w:rPr>
        <w:t xml:space="preserve">                                                                                   </w:t>
      </w:r>
      <w:r>
        <w:rPr>
          <w:rFonts w:ascii="Tempora LGC Uni" w:hAnsi="Tempora LGC Uni" w:eastAsia="Tempora LGC Uni" w:cs="Tempora LGC Uni"/>
          <w:color w:val="000000" w:themeColor="text1"/>
        </w:rPr>
        <w:t xml:space="preserve">от ___________ № _____</w:t>
      </w:r>
    </w:p>
    <w:p>
      <w:pPr>
        <w:pStyle w:val="Normal"/>
        <w:ind w:right="0" w:firstLine="567"/>
        <w:jc w:val="right"/>
        <w:rPr>
          <w:highlight w:val="none"/>
        </w:rPr>
      </w:pPr>
      <w:r/>
    </w:p>
    <w:p>
      <w:pPr>
        <w:pStyle w:val="Normal"/>
        <w:ind w:right="0" w:firstLine="567"/>
        <w:jc w:val="center"/>
        <w:rPr>
          <w:highlight w:val="none"/>
        </w:rPr>
      </w:pPr>
      <w:r/>
    </w:p>
    <w:p>
      <w:pPr>
        <w:pStyle w:val="Normal"/>
        <w:ind w:right="0" w:firstLine="567"/>
        <w:jc w:val="center"/>
        <w:rPr>
          <w:highlight w:val="none"/>
          <w:shd w:val="clear" w:fill="auto"/>
        </w:rPr>
      </w:pPr>
      <w:r>
        <w:rPr>
          <w:shd w:val="clear" w:fill="auto"/>
        </w:rPr>
        <w:t xml:space="preserve">ДОГОВОР ТЕПЛОСНАБЖЕНИЯ </w:t>
      </w:r>
      <w:r>
        <w:rPr>
          <w:rStyle w:val="FootnoteReference"/>
          <w:shd w:val="clear" w:fill="auto"/>
        </w:rPr>
        <w:footnoteReference w:id="2"/>
      </w:r>
    </w:p>
    <w:p>
      <w:pPr>
        <w:pStyle w:val="Normal"/>
        <w:ind w:right="0" w:firstLine="567"/>
        <w:jc w:val="center"/>
        <w:rPr>
          <w:highlight w:val="none"/>
          <w:shd w:val="clear" w:fill="auto"/>
        </w:rPr>
      </w:pPr>
      <w:r>
        <w:rPr>
          <w:shd w:val="clear" w:fill="auto"/>
        </w:rPr>
        <w:t xml:space="preserve">в горячей воде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город…..                                                                                                                  </w:t>
        <w:tab/>
        <w:t xml:space="preserve">«__» __________ 20__ г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Публичное акционерное общество «Вторая генерирующая компания оптового рынка электроэнергии» (ПАО «ОГК-2»), именуемое в дальнейшем «Теплоснабжающая организация», в лице директора филиала ПАО «ОГК-2» - ___________ _________________________, действующего на основании доверенности № _____________, с одной стороны, и __________________________, именуемый в дальнейшем «Потребитель», в лице ___________, действующего на основании __________________________________________, с другой стороны, заключили настоящий Договор о нижеследующем:</w:t>
      </w:r>
    </w:p>
    <w:p>
      <w:pPr>
        <w:pStyle w:val="Normal"/>
        <w:ind w:right="0" w:firstLine="567"/>
        <w:jc w:val="both"/>
        <w:rPr>
          <w:color w:val="ff0000"/>
          <w:highlight w:val="none"/>
          <w:shd w:val="clear" w:fill="auto"/>
        </w:rPr>
      </w:pPr>
      <w:r>
        <w:rPr>
          <w:color w:val="ff0000"/>
          <w:shd w:val="clear" w:fill="auto"/>
        </w:rPr>
      </w:r>
    </w:p>
    <w:p>
      <w:pPr>
        <w:pStyle w:val="Normal"/>
        <w:ind w:right="0" w:firstLine="567"/>
        <w:jc w:val="center"/>
        <w:rPr>
          <w:highlight w:val="none"/>
          <w:shd w:val="clear" w:fill="auto"/>
        </w:rPr>
      </w:pPr>
      <w:r>
        <w:rPr>
          <w:shd w:val="clear" w:fill="auto"/>
        </w:rPr>
        <w:t xml:space="preserve">1. ПРЕДМЕТ ДОГОВОРА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1.1.</w:t>
        <w:tab/>
        <w:t xml:space="preserve">Теплоснабжающая организация обязуется подавать Потребителю </w:t>
      </w:r>
      <w:r>
        <w:rPr>
          <w:i/>
          <w:iCs/>
          <w:shd w:val="clear" w:fill="auto"/>
        </w:rPr>
        <w:t xml:space="preserve">самостоятельно, либо  через присоединенную сеть теплосетевой  организации </w:t>
      </w:r>
      <w:r>
        <w:rPr>
          <w:shd w:val="clear" w:fill="auto"/>
        </w:rPr>
        <w:t xml:space="preserve">тепловую энергию в горячей воде и теплоноситель (далее тепловую энергию и теплоноситель) до границы раздела балансовой принадлежности (точки поставки), а Потребитель обязуется принимать и оплачивать тепловую энергию и теплоноситель в порядке и сроки, предусмотренные настоящим Договором, обеспечить учет тепловой энергии и теплоносителя, а также соблюдать предусмотренный Договором режим потребления, обеспечивать безопасность эксплуатации находящихся в его ведении тепловых сетей и исправность используемых им приборов и оборудования, связанных с потреблением энергии.</w:t>
      </w:r>
      <w:r>
        <w:rPr>
          <w:color w:val="ff0000"/>
          <w:shd w:val="clear" w:fill="auto"/>
        </w:rPr>
        <w:t xml:space="preserve"> 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color w:val="000000" w:themeColor="text1"/>
          <w:shd w:val="clear" w:fill="auto"/>
        </w:rPr>
        <w:t xml:space="preserve">1.2 Местом исполнения обязательств Теплоснабжающей организации являются точки поставки,  определяемые в соответствии с Актом разграничения балансовой принадлежности и определения границы эксплуатационной ответственности Сторон  (Приложение №3).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1.3. Ориентировочное договорное количество тепловой энергии и теплоносителя, подаваемых Теплоснабжающей организацией Потребителю по настоящему Договору в соответствующем расчетном периоде, согласованы Сторонами и указаны в Приложении № 1.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1.4. Фактическое количество тепловой энергии и теплоносителя, потребленное Потребителем по настоящему Договору за расчетный период, определяется на основании данных узла учета (Приложение № 5) </w:t>
      </w:r>
      <w:r>
        <w:rPr>
          <w:i/>
          <w:iCs/>
          <w:shd w:val="clear" w:fill="auto"/>
        </w:rPr>
        <w:t xml:space="preserve">и</w:t>
      </w:r>
      <w:r>
        <w:rPr>
          <w:shd w:val="clear" w:fill="auto"/>
        </w:rPr>
        <w:t xml:space="preserve"> </w:t>
      </w:r>
      <w:r>
        <w:rPr>
          <w:i/>
          <w:iCs/>
          <w:shd w:val="clear" w:fill="auto"/>
        </w:rPr>
        <w:t xml:space="preserve">указывается в Акте об отпуске и потреблении тепловой энергии и теплоносителя по показаниям приборов учета (Приложение № 7)</w:t>
      </w:r>
      <w:r>
        <w:rPr>
          <w:shd w:val="clear" w:fill="auto"/>
        </w:rPr>
        <w:t xml:space="preserve"> или определяется расчетным методом согласно п. 3.8 настоящего Договора. 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1.5. Режим потребления тепловой энергии и теплоносителя, величина тепловой нагрузки теплопотребляющих установок Потребителя тепловой энергии с указанием тепловой нагрузки по каждому объекту и видам теплопотребления </w:t>
      </w:r>
      <w:r>
        <w:rPr>
          <w:i/>
          <w:shd w:val="clear" w:fill="auto"/>
        </w:rPr>
        <w:t xml:space="preserve">(на отопление, вентиляцию, кондиционирование, осуществление технологических процессов, горячее водоснабжение)</w:t>
      </w:r>
      <w:r>
        <w:rPr>
          <w:shd w:val="clear" w:fill="auto"/>
        </w:rPr>
        <w:t xml:space="preserve"> определены сторонами и указываются в Приложении № 1 к Договору.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1.6. Параметры качества теплоснабжения указаны в Приложении № 4 к Договору.  </w:t>
      </w:r>
    </w:p>
    <w:p>
      <w:pPr>
        <w:pStyle w:val="Normal"/>
        <w:ind w:right="0" w:firstLine="0"/>
        <w:jc w:val="left"/>
        <w:rPr>
          <w:highlight w:val="none"/>
          <w:shd w:val="clear" w:fill="auto"/>
        </w:rPr>
      </w:pPr>
      <w:r>
        <w:rPr>
          <w:shd w:val="clear" w:fill="auto"/>
        </w:rPr>
      </w:r>
    </w:p>
    <w:p>
      <w:pPr>
        <w:pStyle w:val="Normal"/>
        <w:ind w:right="0" w:firstLine="567"/>
        <w:jc w:val="center"/>
        <w:rPr>
          <w:highlight w:val="none"/>
          <w:shd w:val="clear" w:fill="auto"/>
        </w:rPr>
      </w:pPr>
      <w:r>
        <w:rPr>
          <w:shd w:val="clear" w:fill="auto"/>
        </w:rPr>
        <w:t xml:space="preserve">2. ОБЯЗАННОСТИ И ПРАВА СТОРОН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2.1.</w:t>
        <w:tab/>
        <w:t xml:space="preserve">Теплоснабжающая организация и Потребитель при подаче и потреблении тепловой энергии и теплоносителя, а также при взаимных расчетах, обязуются руководствоваться Гражданским Кодексом Российской Федерации, указами Президента Российской Федерации, Постановлениями Правительства Российской Федерации, ФЗ Российской Федерации «О теплоснабжении» № 190 от 27.07.2010, решениями уполномоченных органов исполнительной власти в области регулирования тарифов, Правилами организации теплоснабжения в Российской Федерации, Правилами коммерческого учета тепловой энергии и теплоносителя, Правилами технической эксплуатации объектов теплоснабжения и теплопотребляющих установок, Положением о безналичных расчетах в Российской Федерации, иными правовыми актами и настоящим Договором.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В случае, если после заключения Договора принят закон, устанавливающий обязательные для сторон правила, иные, чем те, которые действовали при заключении Договора, условия заключённого Договора сохраняют силу, кроме случаев, когда в законе установлено, что его действие распространяется на отношения, возникшие из ранее заключённых договоров.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2.2.</w:t>
        <w:tab/>
        <w:t xml:space="preserve">Теплоснабжающая организация обязуется: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2.2.1.</w:t>
        <w:tab/>
        <w:t xml:space="preserve">Подавать Потребителю для теплоснабжения его объектов </w:t>
      </w:r>
      <w:r>
        <w:rPr>
          <w:i/>
          <w:iCs/>
          <w:shd w:val="clear" w:fill="auto"/>
        </w:rPr>
        <w:t xml:space="preserve">самостоятельно, либо  через присоединенную сеть теплосетевой </w:t>
      </w:r>
      <w:r>
        <w:rPr>
          <w:shd w:val="clear" w:fill="auto"/>
        </w:rPr>
        <w:t xml:space="preserve"> организации  тепловую энергию и теплоноситель в количестве, согласованном Сторонами и указанном в Приложении № 1, согласно Схеме подключения Потребителя к теплосети (Приложение № 2) и Акту разграничения балансовой принадлежности и определения границы эксплуатационной ответственности между Потребителем, (</w:t>
      </w:r>
      <w:r>
        <w:rPr>
          <w:i/>
          <w:iCs/>
          <w:shd w:val="clear" w:fill="auto"/>
        </w:rPr>
        <w:t xml:space="preserve">и</w:t>
      </w:r>
      <w:r>
        <w:rPr>
          <w:shd w:val="clear" w:fill="auto"/>
        </w:rPr>
        <w:t xml:space="preserve">) Теплоснабжающей организацией </w:t>
      </w:r>
      <w:r>
        <w:rPr>
          <w:i/>
          <w:iCs/>
          <w:shd w:val="clear" w:fill="auto"/>
        </w:rPr>
        <w:t xml:space="preserve">и Теплосетевой организацией </w:t>
      </w:r>
      <w:r>
        <w:rPr>
          <w:shd w:val="clear" w:fill="auto"/>
        </w:rPr>
        <w:t xml:space="preserve">(Приложение № 3). </w:t>
      </w:r>
    </w:p>
    <w:p>
      <w:pPr>
        <w:pStyle w:val="Normal"/>
        <w:spacing w:before="0" w:beforeAutospacing="0" w:after="0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2.2.2.</w:t>
        <w:tab/>
        <w:t xml:space="preserve">Поддерживать температуру сетевой воды в подающем трубопроводе на источнике тепловой энергии в соответствии с Температурным графиком работы теплосети, согласованном Сторонами (Приложение № 4). Отклонения от заданного Температурного графика допускаются не более:</w:t>
      </w:r>
    </w:p>
    <w:p>
      <w:pPr>
        <w:pStyle w:val="Normal"/>
        <w:spacing w:before="0" w:beforeAutospacing="0" w:after="0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- </w:t>
      </w:r>
      <w:r>
        <w:rPr>
          <w:rFonts w:eastAsia="Times New Roman" w:cs="Times New Roman"/>
          <w:color w:val="000000"/>
          <w:sz w:val="20"/>
          <w:szCs w:val="20"/>
          <w:shd w:val="clear" w:fill="auto"/>
        </w:rPr>
        <w:t xml:space="preserve">по температуре воды, поступающей в тепловую сеть, 3%;</w:t>
      </w:r>
    </w:p>
    <w:p>
      <w:pPr>
        <w:pStyle w:val="Normal"/>
        <w:spacing w:before="0" w:beforeAutospacing="0" w:after="0"/>
        <w:ind w:right="0" w:firstLine="567"/>
        <w:jc w:val="both"/>
        <w:rPr>
          <w:highlight w:val="none"/>
          <w:shd w:val="clear" w:fill="auto"/>
        </w:rPr>
      </w:pPr>
      <w:r>
        <w:rPr>
          <w:rFonts w:eastAsia="Times New Roman" w:cs="Times New Roman"/>
          <w:i/>
          <w:iCs/>
          <w:color w:val="000000"/>
          <w:sz w:val="20"/>
          <w:szCs w:val="20"/>
          <w:shd w:val="clear" w:fill="auto"/>
        </w:rPr>
        <w:t xml:space="preserve">- по давлению в подающих трубопроводах </w:t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33985" cy="133985"/>
                <wp:effectExtent l="0" t="0" r="0" b="0"/>
                <wp:docPr id="1" name="Изображение1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Изображение1" descr=""/>
                        <pic:cNvPicPr>
                          <a:picLocks noChangeAspect="1" noChangeArrowheads="1"/>
                        </pic:cNvPicPr>
                        <pic:nv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133985" cy="1339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10.55pt;height:10.55pt;mso-wrap-distance-left:0.00pt;mso-wrap-distance-top:0.00pt;mso-wrap-distance-right:0.00pt;mso-wrap-distance-bottom:0.00pt;" stroked="false">
                <v:path textboxrect="0,0,0,0"/>
                <v:imagedata r:id="rId8" o:title=""/>
              </v:shape>
            </w:pict>
          </mc:Fallback>
        </mc:AlternateContent>
      </w:r>
      <w:r>
        <w:rPr>
          <w:rFonts w:eastAsia="Times New Roman" w:cs="Times New Roman"/>
          <w:i/>
          <w:iCs/>
          <w:color w:val="000000"/>
          <w:sz w:val="20"/>
          <w:szCs w:val="20"/>
          <w:shd w:val="clear" w:fill="auto"/>
        </w:rPr>
        <w:t xml:space="preserve">5%;</w:t>
      </w:r>
    </w:p>
    <w:p>
      <w:pPr>
        <w:pStyle w:val="Normal"/>
        <w:spacing w:before="0" w:beforeAutospacing="0" w:after="0"/>
        <w:ind w:right="0" w:firstLine="567"/>
        <w:jc w:val="both"/>
        <w:rPr>
          <w:highlight w:val="none"/>
          <w:shd w:val="clear" w:fill="auto"/>
        </w:rPr>
      </w:pPr>
      <w:r>
        <w:rPr>
          <w:rFonts w:eastAsia="Times New Roman" w:cs="Times New Roman"/>
          <w:i/>
          <w:iCs/>
          <w:color w:val="000000"/>
          <w:sz w:val="20"/>
          <w:szCs w:val="20"/>
          <w:shd w:val="clear" w:fill="auto"/>
        </w:rPr>
        <w:t xml:space="preserve"> </w:t>
      </w:r>
      <w:r>
        <w:rPr>
          <w:rFonts w:eastAsia="Times New Roman" w:cs="Times New Roman"/>
          <w:i/>
          <w:iCs/>
          <w:color w:val="000000"/>
          <w:sz w:val="20"/>
          <w:szCs w:val="20"/>
          <w:shd w:val="clear" w:fill="auto"/>
        </w:rPr>
        <w:t xml:space="preserve">-по давлению в обратных трубопроводах </w:t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44145" cy="144145"/>
                <wp:effectExtent l="0" t="0" r="0" b="0"/>
                <wp:docPr id="2" name="Изображение2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Изображение2" descr=""/>
                        <pic:cNvPicPr>
                          <a:picLocks noChangeAspect="1" noChangeArrowheads="1"/>
                        </pic:cNvPicPr>
                        <pic:nv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144145" cy="1441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11.35pt;height:11.35pt;mso-wrap-distance-left:0.00pt;mso-wrap-distance-top:0.00pt;mso-wrap-distance-right:0.00pt;mso-wrap-distance-bottom:0.00pt;" stroked="false">
                <v:path textboxrect="0,0,0,0"/>
                <v:imagedata r:id="rId8" o:title=""/>
              </v:shape>
            </w:pict>
          </mc:Fallback>
        </mc:AlternateContent>
      </w:r>
      <w:r>
        <w:rPr>
          <w:rFonts w:eastAsia="Times New Roman" w:cs="Times New Roman"/>
          <w:i/>
          <w:iCs/>
          <w:color w:val="000000"/>
          <w:sz w:val="20"/>
          <w:szCs w:val="20"/>
          <w:shd w:val="clear" w:fill="auto"/>
        </w:rPr>
        <w:t xml:space="preserve">20 кПа (0,2 кгс/см</w:t>
      </w:r>
      <w:r>
        <w:rPr>
          <w:rFonts w:eastAsia="Times New Roman" w:cs="Times New Roman"/>
          <w:i/>
          <w:iCs/>
          <w:color w:val="000000"/>
          <w:sz w:val="20"/>
          <w:szCs w:val="20"/>
          <w:shd w:val="clear" w:fill="auto"/>
          <w:vertAlign w:val="superscript"/>
        </w:rPr>
        <w:t xml:space="preserve">2</w:t>
      </w:r>
      <w:r>
        <w:rPr>
          <w:rFonts w:eastAsia="Times New Roman" w:cs="Times New Roman"/>
          <w:i/>
          <w:iCs/>
          <w:color w:val="000000"/>
          <w:sz w:val="20"/>
          <w:szCs w:val="20"/>
          <w:shd w:val="clear" w:fill="auto"/>
        </w:rPr>
        <w:t xml:space="preserve">)</w:t>
      </w:r>
    </w:p>
    <w:p>
      <w:pPr>
        <w:pStyle w:val="Normal"/>
        <w:spacing w:before="0" w:after="0" w:line="240" w:lineRule="auto"/>
        <w:ind w:left="0" w:right="0" w:firstLine="540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2.2.3.</w:t>
        <w:tab/>
        <w:t xml:space="preserve">Не допускать отклонение среднесуточной температуры воды в подающем трубопроводе в точке поставки, более чем на 3% от согласованного Сторонами Температурного графика работы теплосети (Приложение № 4).</w:t>
      </w:r>
    </w:p>
    <w:p>
      <w:pPr>
        <w:pStyle w:val="Normal"/>
        <w:spacing w:before="0" w:after="0" w:line="240" w:lineRule="auto"/>
        <w:ind w:left="0" w:right="0" w:firstLine="540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Поддерживать в соответствии с гидравлическим расчетом давление сетевой воды в подающем трубопроводе в точке поставки, обеспечивающее заполнение и циркуляцию теплоносителя в системе теплопотребления Потребителя, при условии соблюдения Потребителем </w:t>
      </w:r>
      <w:r>
        <w:rPr>
          <w:i/>
          <w:iCs/>
          <w:shd w:val="clear" w:fill="auto"/>
        </w:rPr>
        <w:t xml:space="preserve">и теплосетевой  организации</w:t>
      </w:r>
      <w:r>
        <w:rPr>
          <w:shd w:val="clear" w:fill="auto"/>
        </w:rPr>
        <w:t xml:space="preserve"> режима потребления тепловой энергии и теплоносителя, а так же исполнения рекомендаций Теплоснабжающей организации по наладке тепловых сетей и теплопотребляющих установок объекта(ов) Потребителя.</w:t>
      </w:r>
    </w:p>
    <w:p>
      <w:pPr>
        <w:pStyle w:val="Normal"/>
        <w:spacing w:before="0" w:after="0" w:line="240" w:lineRule="auto"/>
        <w:ind w:left="0" w:right="0" w:firstLine="540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2.2.4.</w:t>
        <w:tab/>
        <w:t xml:space="preserve">Не допускать к эксплуатации приборы учета, у которых истек срок действия поверки, а также не включенные или исключенные из реестра средств измерений.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Ежегодно, перед началом отопительного сезона, оформлять допуск в эксплуатацию коммерческих узлов учёта тепловой энергии, указанных в Приложении № 5, схематически указанных на Схеме теплосети Потребителя (Приложение № 2), с производством технического осмотра приборов узла учёта, проверкой соответствия технической документации требованиям Правил коммерческого учёта тепловой энергии и теплоносителя (далее – Правила учёта) и оформлением Акта повторного допуска в эксплуатацию узла учёта тепловой энергии у потребителя.</w:t>
      </w:r>
    </w:p>
    <w:p>
      <w:pPr>
        <w:pStyle w:val="Normal"/>
        <w:ind w:right="0" w:firstLine="567"/>
        <w:jc w:val="both"/>
        <w:rPr>
          <w:i w:val="0"/>
          <w:iCs w:val="0"/>
          <w:highlight w:val="none"/>
          <w:shd w:val="clear" w:fill="auto"/>
        </w:rPr>
      </w:pPr>
      <w:r>
        <w:rPr>
          <w:shd w:val="clear" w:fill="auto"/>
        </w:rPr>
        <w:t xml:space="preserve">2.2.5.</w:t>
        <w:tab/>
        <w:t xml:space="preserve">Ежемесячно, до 5 (Пятого) числа месяца, следующего за расчетным, выписывать Потребителю </w:t>
      </w:r>
      <w:r>
        <w:rPr>
          <w:i/>
          <w:shd w:val="clear" w:fill="auto"/>
        </w:rPr>
        <w:t xml:space="preserve">Акт об отпуске и потреблении тепловой энергии и теплоносителя по показаниям приборов учета (по форме Приложения № 7)</w:t>
      </w:r>
      <w:r>
        <w:rPr>
          <w:i/>
          <w:iCs/>
          <w:shd w:val="clear" w:fill="auto"/>
        </w:rPr>
        <w:t xml:space="preserve"> и </w:t>
      </w:r>
      <w:r>
        <w:rPr>
          <w:i w:val="0"/>
          <w:iCs w:val="0"/>
          <w:shd w:val="clear" w:fill="auto"/>
        </w:rPr>
        <w:t xml:space="preserve">универсальный передаточный документ (далее - УПД) (по форме, рекомендованной ФНС письмом от 21.10.2013 «Об отсутствии налоговых рисков при применении налогоплательщиками первичного документа, составленного на основе формы счета-фактуры»).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2.2.6.</w:t>
        <w:tab/>
        <w:t xml:space="preserve">Ежеквартально производить с Потребителем сверку задолженности за отпущенную тепловую энергию и потребленный теплоноситель. Направлять в срок до 30 (Тридцатого) числа первого месяца, следующего за отчетным кварталом, в адрес потребителя Акт сверки взаимных расчетов, оформленный в соответствии с действующим законодательством Российской Федерации.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2.2.7.</w:t>
        <w:tab/>
        <w:t xml:space="preserve">Сообщать Потребителю об изменениях юридического адреса, банковских реквизитов, наименования Теплоснабжающей организации, ведомственной принадлежности или формы собственности и других реквизитов, влияющих на надлежащее исполнение Договора, в течение 10 (Десяти) дней с момента вступления в силу таких изменений.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2.2.8.</w:t>
        <w:tab/>
        <w:t xml:space="preserve">При реорганизации Теплоснабжающей организации в течение 30 (Тридцати) дней с момента принятия соответствующего решения представить Потребителю подтверждающие документы.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2.2.9.</w:t>
        <w:tab/>
        <w:t xml:space="preserve">При ликвидации Теплоснабжающей организации направить Потребителю письмо о расторжении Договора за 20 (Двадцать) дней до исключения Теплоснабжающей организации из Государственного реестра.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2.3.</w:t>
        <w:tab/>
        <w:t xml:space="preserve">Теплоснабжающая организация имеет право: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2.3.1.</w:t>
        <w:tab/>
      </w:r>
      <w:r>
        <w:rPr>
          <w:rFonts w:eastAsia="Times New Roman" w:cs="Times New Roman"/>
          <w:color w:val="000000"/>
          <w:sz w:val="20"/>
          <w:szCs w:val="20"/>
          <w:shd w:val="clear" w:fill="auto"/>
          <w:lang w:val="ru-RU" w:eastAsia="zh-CN" w:bidi="ar-SA"/>
        </w:rPr>
        <w:t xml:space="preserve">Осуществлять контроль за соблюдением установленных настоящим Договором режимов теплопотребления, состоянием расчетного (ых) узла (ов) учета тепловой энергии.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2.3.2. Направлять Потребителю письменные рекомендации по наладке тепловых сетей и теплопотребляющих установок, в том числе режима потребления тепловой энергии, параметров качества и иных параметров, включенных в договор теплоснабжения, которые могут повлиять на качество и надежность теплоснабжения потребителя и (или) других потребителей в системе теплоснабжения. В случае неисполнения Потребителем направленных рекомендаций Теплоснабжающая организация вправе направить соответствующее обращение в контрольно-надзорные органы;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2.3.3. Беспрепятственного доступа к тепловым сетям и теплопотребляющим установкам Потребителя (с предварительным уведомлением Потребителя) </w:t>
      </w:r>
      <w:r>
        <w:rPr>
          <w:rFonts w:cs="Times New Roman"/>
          <w:szCs w:val="24"/>
          <w:shd w:val="clear" w:fill="auto"/>
        </w:rPr>
        <w:t xml:space="preserve">в целях </w:t>
      </w:r>
      <w:r>
        <w:rPr>
          <w:shd w:val="clear" w:fill="auto"/>
        </w:rPr>
        <w:t xml:space="preserve">контроля хода выполнения мероприятий, направленных на реализацию предложенных рекомендаций по наладке тепловых сетей и теплопотребляющих установок, в том числе режима потребления тепловой энергии, параметров качества и иных параметров, включенных в договор теплоснабжения, которые могут повлиять на качество и надежность теплоснабжения потребителя и (или) других потребителей в системе теплоснабжения.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2.3.4.</w:t>
        <w:tab/>
        <w:t xml:space="preserve">При превышении температуры обратной сетевой воды более чем на 5% от указанной в температурном графике (Приложение № 4), Теплоснабжающая организация вправе требовать от Потребителя сокращения расходов теплоносителя до уровня, при котором температура сетевой воды в обратном трубопроводе будет соответствовать температурному графику работы теплосети. 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При невыполнении этого требования Теплоснабжающая организация вправе вводить принудительное ограничение расхода теплоносителя или производить снижение температуры подающей сетевой воды до уровня, при котором температура сетевой воды в обратном трубопроводе будет соответствовать температурному графику работы теплосети. В этом случае Теплоснабжающая организация не несет ответственности за снижение давления теплоносителя в сети Потребителя и за нарушение режимов работы его системы теплопотребления.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2.3.5.</w:t>
        <w:tab/>
        <w:t xml:space="preserve">Ограничивать или прекращать подачу тепловой энергии и теплоносителя для объектов Потребителя в порядке,  соответствующем действующему законодательству РФ, в следующих случаях:</w:t>
      </w:r>
    </w:p>
    <w:p>
      <w:pPr>
        <w:pStyle w:val="Normal"/>
        <w:spacing w:before="0" w:after="0" w:line="240" w:lineRule="auto"/>
        <w:ind w:left="0" w:right="0" w:firstLine="540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 </w:t>
      </w:r>
      <w:r>
        <w:rPr>
          <w:shd w:val="clear" w:fill="auto"/>
        </w:rPr>
        <w:t xml:space="preserve">- </w:t>
      </w:r>
      <w:r>
        <w:rPr>
          <w:sz w:val="20"/>
          <w:szCs w:val="20"/>
          <w:shd w:val="clear" w:fill="auto"/>
        </w:rPr>
        <w:t xml:space="preserve"> при </w:t>
      </w:r>
      <w:r>
        <w:rPr>
          <w:rFonts w:eastAsia="Times New Roman" w:cs="Times New Roman"/>
          <w:color w:val="000000"/>
          <w:sz w:val="20"/>
          <w:szCs w:val="20"/>
          <w:shd w:val="clear" w:fill="auto"/>
        </w:rPr>
        <w:t xml:space="preserve">неисполнении или ненадлежащем исполнении потребителем обязательств по оплате тепловой энергии  и (или) теплоносителя, в том числе обязательств по их предварительной оплате, если такое условие предусмотрено договором, а также при нарушении условий договора о количестве, качестве и значениях термодинамических параметров возвращаемого теплоносителя и (или) нарушении режима потребления тепловой энергии, существенно влияющих на теплоснабжение других потребителей в данной системе теплоснабжения, а также в случае несоблюдения установленных техническими регламентами обязательных требований безопасной эксплуатации теплопотребляющих установок;</w:t>
      </w:r>
    </w:p>
    <w:p>
      <w:pPr>
        <w:pStyle w:val="Normal"/>
        <w:spacing w:before="0" w:after="0" w:line="240" w:lineRule="auto"/>
        <w:ind w:left="0" w:right="0" w:firstLine="540"/>
        <w:jc w:val="both"/>
        <w:rPr>
          <w:highlight w:val="none"/>
          <w:shd w:val="clear" w:fill="auto"/>
        </w:rPr>
      </w:pPr>
      <w:r>
        <w:rPr>
          <w:rFonts w:eastAsia="Times New Roman" w:cs="Times New Roman"/>
          <w:color w:val="000000"/>
          <w:sz w:val="20"/>
          <w:szCs w:val="20"/>
          <w:shd w:val="clear" w:fill="auto"/>
        </w:rPr>
        <w:t xml:space="preserve"> </w:t>
      </w:r>
      <w:r>
        <w:rPr>
          <w:rFonts w:eastAsia="Times New Roman" w:cs="Times New Roman"/>
          <w:color w:val="000000"/>
          <w:sz w:val="20"/>
          <w:szCs w:val="20"/>
          <w:shd w:val="clear" w:fill="auto"/>
        </w:rPr>
        <w:t xml:space="preserve">-  прекращение обязательств сторон по договору теплоснабжения;</w:t>
      </w:r>
    </w:p>
    <w:p>
      <w:pPr>
        <w:pStyle w:val="Normal"/>
        <w:spacing w:before="0" w:after="0" w:line="240" w:lineRule="auto"/>
        <w:ind w:left="0" w:right="0" w:firstLine="540"/>
        <w:jc w:val="both"/>
        <w:rPr>
          <w:highlight w:val="none"/>
          <w:shd w:val="clear" w:fill="auto"/>
        </w:rPr>
      </w:pPr>
      <w:r>
        <w:rPr>
          <w:rFonts w:eastAsia="Times New Roman" w:cs="Times New Roman"/>
          <w:color w:val="000000"/>
          <w:sz w:val="20"/>
          <w:szCs w:val="20"/>
          <w:shd w:val="clear" w:fill="auto"/>
        </w:rPr>
        <w:t xml:space="preserve"> </w:t>
      </w:r>
      <w:r>
        <w:rPr>
          <w:rFonts w:eastAsia="Times New Roman" w:cs="Times New Roman"/>
          <w:color w:val="000000"/>
          <w:sz w:val="20"/>
          <w:szCs w:val="20"/>
          <w:shd w:val="clear" w:fill="auto"/>
        </w:rPr>
        <w:t xml:space="preserve">-  выявление фактов бездоговорного потребления тепловой энергии и (или) теплоносителя ;</w:t>
      </w:r>
    </w:p>
    <w:p>
      <w:pPr>
        <w:pStyle w:val="Normal"/>
        <w:spacing w:before="0" w:after="0" w:line="240" w:lineRule="auto"/>
        <w:ind w:left="0" w:right="0" w:firstLine="540"/>
        <w:jc w:val="both"/>
        <w:rPr>
          <w:highlight w:val="none"/>
          <w:shd w:val="clear" w:fill="auto"/>
        </w:rPr>
      </w:pPr>
      <w:r>
        <w:rPr>
          <w:rFonts w:eastAsia="Times New Roman" w:cs="Times New Roman"/>
          <w:color w:val="000000"/>
          <w:sz w:val="20"/>
          <w:szCs w:val="20"/>
          <w:shd w:val="clear" w:fill="auto"/>
        </w:rPr>
        <w:t xml:space="preserve">-  возникновение (угроза возникновения) аварийных ситуаций в системе теплоснабжения;</w:t>
      </w:r>
    </w:p>
    <w:p>
      <w:pPr>
        <w:pStyle w:val="Normal"/>
        <w:spacing w:before="0" w:after="0" w:line="240" w:lineRule="auto"/>
        <w:ind w:left="0" w:right="0" w:firstLine="540"/>
        <w:jc w:val="both"/>
        <w:rPr>
          <w:highlight w:val="none"/>
          <w:shd w:val="clear" w:fill="auto"/>
        </w:rPr>
      </w:pPr>
      <w:r>
        <w:rPr>
          <w:rFonts w:eastAsia="Times New Roman" w:cs="Times New Roman"/>
          <w:color w:val="000000"/>
          <w:sz w:val="20"/>
          <w:szCs w:val="20"/>
          <w:shd w:val="clear" w:fill="auto"/>
        </w:rPr>
        <w:t xml:space="preserve"> </w:t>
      </w:r>
      <w:r>
        <w:rPr>
          <w:rFonts w:eastAsia="Times New Roman" w:cs="Times New Roman"/>
          <w:color w:val="000000"/>
          <w:sz w:val="20"/>
          <w:szCs w:val="20"/>
          <w:shd w:val="clear" w:fill="auto"/>
        </w:rPr>
        <w:t xml:space="preserve">-  наличие обращения потребителя о введении ограничения;</w:t>
      </w:r>
    </w:p>
    <w:p>
      <w:pPr>
        <w:pStyle w:val="Normal"/>
        <w:spacing w:before="0" w:after="0" w:line="240" w:lineRule="auto"/>
        <w:ind w:left="0" w:right="0" w:firstLine="540"/>
        <w:jc w:val="both"/>
        <w:rPr>
          <w:highlight w:val="none"/>
          <w:shd w:val="clear" w:fill="auto"/>
        </w:rPr>
      </w:pPr>
      <w:r>
        <w:rPr>
          <w:rFonts w:eastAsia="Times New Roman" w:cs="Times New Roman"/>
          <w:color w:val="000000"/>
          <w:sz w:val="20"/>
          <w:szCs w:val="20"/>
          <w:shd w:val="clear" w:fill="auto"/>
        </w:rPr>
        <w:t xml:space="preserve">- иные случаи, предусмотренные нормативными правовыми актами Российской Федерации или договором теплоснабжения.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rFonts w:eastAsia="Times New Roman" w:cs="Times New Roman"/>
          <w:color w:val="000000"/>
          <w:sz w:val="20"/>
          <w:szCs w:val="20"/>
          <w:shd w:val="clear" w:fill="auto"/>
        </w:rPr>
        <w:t xml:space="preserve">Теплоснабжающей организацией при выявлении  факта бездоговорного потребления тепловой энергии, теплоносителя составляется акт о выявлении бездоговорного потребления тепловой энергии, теплоносителя. В указанном акте должны содержаться сведения о Потребителе, о способе и месте осуществления такого бездоговорного потребления, описание приборов учета на момент составления указанного акта, дата предыдущей проверки, объяснения Потребителя  относительно факта выявленного бездоговорного потребления тепловой энергии, теплоносителя и  его претензии к составленному акту (в случае наличия этих претензий). При составлении указанного акта должны присутствовать Потребитель или   его представитель. Отказ Потребителя  или его представителя от подписания составленного акта, а также их отказ от присутствия при его составлении отражается с указанием причин этого отказа в указанном акте или в отдельном акте, составленном в присутствии двух незаинтересованных лиц и подписанном ими.</w:t>
      </w:r>
    </w:p>
    <w:p>
      <w:pPr>
        <w:pStyle w:val="Normal"/>
        <w:ind w:right="0" w:firstLine="567"/>
        <w:jc w:val="both"/>
        <w:rPr>
          <w:highlight w:val="none"/>
        </w:rPr>
      </w:pPr>
      <w:r>
        <w:rPr>
          <w:rFonts w:eastAsia="Times New Roman" w:cs="Times New Roman"/>
          <w:color w:val="000000"/>
          <w:sz w:val="20"/>
          <w:szCs w:val="20"/>
          <w:shd w:val="clear" w:fill="auto"/>
        </w:rPr>
        <w:t xml:space="preserve">Расчет объема бездоговорного потребления тепловой энергии, теплоносителя и их стоимости осуществляется Теплоснабжающей организацией в течение 5 (пяти) рабочих дней со дня составления акта о выявлении бездоговорного потребления тепловой энергии, теплоносителя на основании указанного акта, документов, представленных Потребителем, в соответствии с </w:t>
      </w:r>
      <w:hyperlink r:id="rId9" w:tgtFrame="https://login.consultant.ru/link/?req=doc&amp;base=LAW&amp;n=401404&amp;dst=100010&amp;field=134&amp;date=02.09.2025">
        <w:r>
          <w:rPr>
            <w:rStyle w:val="Hyperlink"/>
            <w:rFonts w:eastAsia="Times New Roman" w:cs="Times New Roman"/>
            <w:color w:val="000000" w:themeColor="text1"/>
            <w:sz w:val="20"/>
            <w:szCs w:val="20"/>
            <w:u w:val="none"/>
            <w:shd w:val="clear" w:fill="auto"/>
          </w:rPr>
          <w:t xml:space="preserve">правилами</w:t>
        </w:r>
      </w:hyperlink>
      <w:r>
        <w:rPr>
          <w:rFonts w:eastAsia="Times New Roman" w:cs="Times New Roman"/>
          <w:color w:val="000000"/>
          <w:sz w:val="20"/>
          <w:szCs w:val="20"/>
          <w:shd w:val="clear" w:fill="auto"/>
        </w:rPr>
        <w:t xml:space="preserve"> коммерческого учета тепловой энергии, теплоносителя, утвержденными Правительством Российской Федерации. Объем бездоговорного потребления тепловой энергии, теплоносителя определяется за весь период, истекший с даты предыдущей проверки, в месте осуществления бездоговорного потребления тепловой энергии, теплоносителя, но не более чем за три года.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Стоимость тепловой энергии, теплоносителя, полученных в результате бездоговорного потребления тепловой энергии, теплоносителя, определяется в соответствии с действующими на дату взыскания тарифами на тепловую энергию, теплоноситель и подлежит оплате Потребителем в течение 15 (Пятнадцати) дней с момента направления Теплоснабжающей организацией соответствующего требования. 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В случае неоплаты в указанный срок Потребителем стоимости тепловой энергии, теплоносителя, полученных в результате бездоговорного потребления, Теплоснабжающая организация вправе прекратить подачу тепловой энергии, теплоносителя и взыскать с Потребителя убытки в полуторакратном размере стоимости тепловой энергии, теплоносителя, полученных в результате бездоговорного потребления тепловой энергии, теплоносителя.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2.3.6.</w:t>
        <w:tab/>
        <w:t xml:space="preserve">В одностороннем порядке на основании ст. 546, 523 ГК РФ расторгнуть настоящий Договор в случае неоднократных (свыше двух раз) нарушений Потребителем сроков оплаты тепловой энергии и (или) теплоносителя, с уведомлением об этом Потребителя. Настоящий Договор считать расторгнутым с момента получения Потребителем уведомления, если иной срок в уведомлении не указан.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2.3.7.</w:t>
        <w:tab/>
        <w:t xml:space="preserve">Допускать отклонение параметров сетевой воды от графика в следующих случаях: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- в период включения (отключения) систем отопления Потребителя и переходный период (осенне-весенний) до установления стационарного режима работы теплосети; 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- при резких, скачкообразных в зависимости от температуры наружного воздуха (на 10 ºС и более в течении 8 часов), изменениях температуры прямой сетевой воды; 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- длительного похолодания, при котором температура наружного воздуха держится более 72 часов ниже на 10 ºС и более расчетной температуры для данной местности (температура, соответствующая климатической норме, установленной для региона);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- в аварийных случаях.</w:t>
      </w:r>
    </w:p>
    <w:p>
      <w:pPr>
        <w:pStyle w:val="Normal"/>
        <w:rPr>
          <w:highlight w:val="none"/>
          <w:shd w:val="clear" w:fill="auto"/>
        </w:rPr>
      </w:pPr>
      <w:r>
        <w:rPr>
          <w:rFonts w:eastAsia="Times New Roman" w:cs="Times New Roman"/>
          <w:color w:val="000000"/>
          <w:sz w:val="20"/>
          <w:szCs w:val="20"/>
          <w:shd w:val="clear" w:fill="auto"/>
          <w:lang w:val="ru-RU" w:eastAsia="zh-CN" w:bidi="ar-SA"/>
        </w:rPr>
        <w:t xml:space="preserve">            </w:t>
      </w:r>
      <w:r>
        <w:rPr>
          <w:rFonts w:eastAsia="Times New Roman" w:cs="Times New Roman"/>
          <w:color w:val="000000"/>
          <w:sz w:val="20"/>
          <w:szCs w:val="20"/>
          <w:shd w:val="clear" w:fill="auto"/>
          <w:lang w:val="ru-RU" w:eastAsia="zh-CN" w:bidi="ar-SA"/>
        </w:rPr>
        <w:t xml:space="preserve">2.4.</w:t>
        <w:tab/>
        <w:t xml:space="preserve">Потребитель обязуется: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2.4.1.</w:t>
        <w:tab/>
        <w:t xml:space="preserve">Оплачивать принятую тепловую энергию и теплоноситель в сроки и на условиях, предусмотренных разделами 4 и 5 настоящего Договора.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2.4.2. </w:t>
        <w:tab/>
        <w:t xml:space="preserve">Обеспечивать безопасность эксплуатации находящихся в его ведении тепловых сетей и исправность используемых им приборов и оборудования, связанных с потреблением тепловой энергии и теплоносителя. 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2.4.3.</w:t>
        <w:tab/>
        <w:t xml:space="preserve">Обеспечивать сохранность пломб, установленных Теплоснабжающей организацией.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2.4.4.</w:t>
        <w:tab/>
        <w:t xml:space="preserve">Не эксплуатировать приборы учета, у которых истек срок действия поверки, а также не включенные или исключенные из реестра средств измерений.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2.4.5.</w:t>
        <w:tab/>
      </w:r>
      <w:r>
        <w:rPr>
          <w:i/>
          <w:shd w:val="clear" w:fill="auto"/>
        </w:rPr>
        <w:t xml:space="preserve">Ежемесячно, 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i/>
          <w:shd w:val="clear" w:fill="auto"/>
        </w:rPr>
        <w:t xml:space="preserve">Вариант  1 - в срок не позднее 2 (Второго) числа месяца, следующего за расчетным;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i/>
          <w:shd w:val="clear" w:fill="auto"/>
        </w:rPr>
        <w:t xml:space="preserve">Вариант  2 – в срок не позднее 25 (Двадцать пятого) числа расчетного месяца,</w:t>
      </w:r>
    </w:p>
    <w:p>
      <w:pPr>
        <w:pStyle w:val="Normal"/>
        <w:spacing w:before="0" w:after="0" w:line="240" w:lineRule="auto"/>
        <w:ind w:left="0" w:right="0" w:firstLine="540"/>
        <w:jc w:val="both"/>
        <w:rPr>
          <w:highlight w:val="none"/>
          <w:shd w:val="clear" w:fill="auto"/>
        </w:rPr>
      </w:pPr>
      <w:r>
        <w:rPr>
          <w:i/>
          <w:shd w:val="clear" w:fill="auto"/>
        </w:rPr>
        <w:t xml:space="preserve">представить в Теплоснабжающую организацию</w:t>
      </w:r>
      <w:r>
        <w:rPr>
          <w:rFonts w:eastAsia="Times New Roman" w:cs="Times New Roman"/>
          <w:i/>
          <w:iCs/>
          <w:color w:val="000000"/>
          <w:sz w:val="20"/>
          <w:szCs w:val="20"/>
          <w:shd w:val="clear" w:fill="auto"/>
        </w:rPr>
        <w:t xml:space="preserve"> отчет о теплопотреблении, подписанный Потребителем, </w:t>
      </w:r>
      <w:r>
        <w:rPr>
          <w:i/>
          <w:shd w:val="clear" w:fill="auto"/>
        </w:rPr>
        <w:t xml:space="preserve">на основании которого оформляется двусторонний Акт об отпуске и потреблении тепловой энергии и теплоносителя по показаниям приборов учета (Приложение № 7).</w:t>
      </w:r>
      <w:r>
        <w:rPr>
          <w:rFonts w:eastAsia="Times New Roman" w:cs="Times New Roman"/>
          <w:i/>
          <w:iCs/>
          <w:color w:val="000000"/>
          <w:sz w:val="20"/>
          <w:szCs w:val="20"/>
          <w:shd w:val="clear" w:fill="auto"/>
        </w:rPr>
        <w:t xml:space="preserve"> Отчет о теплопотреблении представляется на бумажном носителе, на электронных носителях или с использованием средств диспетчеризации (с использованием автоматизированной информационно-измерительной системы)</w:t>
      </w:r>
      <w:r>
        <w:rPr>
          <w:shd w:val="clear" w:fill="auto"/>
        </w:rPr>
        <w:t xml:space="preserve">.</w:t>
      </w:r>
    </w:p>
    <w:p>
      <w:pPr>
        <w:pStyle w:val="Normal"/>
        <w:ind w:firstLine="708"/>
        <w:jc w:val="both"/>
        <w:rPr>
          <w:highlight w:val="none"/>
          <w:shd w:val="clear" w:fill="auto"/>
        </w:rPr>
      </w:pPr>
      <w:r>
        <w:rPr>
          <w:i/>
          <w:shd w:val="clear" w:fill="auto"/>
        </w:rPr>
        <w:t xml:space="preserve">Список уполномоченных представителей Сторон, имеющих право подписывать вышеупомянутые документы, приведен в Приложении № 6. </w:t>
      </w:r>
    </w:p>
    <w:p>
      <w:pPr>
        <w:pStyle w:val="Normal"/>
        <w:ind w:right="0" w:firstLine="567"/>
        <w:jc w:val="both"/>
        <w:rPr>
          <w:i w:val="0"/>
          <w:iCs w:val="0"/>
          <w:highlight w:val="none"/>
          <w:shd w:val="clear" w:fill="auto"/>
        </w:rPr>
      </w:pPr>
      <w:r>
        <w:rPr>
          <w:shd w:val="clear" w:fill="auto"/>
        </w:rPr>
        <w:t xml:space="preserve">2.4.6.</w:t>
        <w:tab/>
        <w:t xml:space="preserve">Ежемесячно, не позднее 7 (Седьмого) числа месяца, следующего за расчетным, подписывать уполномоченными лицами</w:t>
      </w:r>
      <w:r>
        <w:rPr>
          <w:i w:val="0"/>
          <w:iCs w:val="0"/>
          <w:shd w:val="clear" w:fill="auto"/>
        </w:rPr>
        <w:t xml:space="preserve">, у</w:t>
      </w:r>
      <w:r>
        <w:rPr>
          <w:i w:val="0"/>
          <w:iCs w:val="0"/>
          <w:color w:val="000000"/>
          <w:shd w:val="clear" w:fill="auto"/>
        </w:rPr>
        <w:t xml:space="preserve">казанными в Приложении № 6 У</w:t>
      </w:r>
      <w:r>
        <w:rPr>
          <w:i w:val="0"/>
          <w:iCs w:val="0"/>
          <w:shd w:val="clear" w:fill="auto"/>
        </w:rPr>
        <w:t xml:space="preserve">ПД за расчетный месяц.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При неоформлении Потребителем </w:t>
      </w:r>
      <w:r>
        <w:rPr>
          <w:i/>
          <w:iCs/>
          <w:shd w:val="clear" w:fill="auto"/>
        </w:rPr>
        <w:t xml:space="preserve"> </w:t>
      </w:r>
      <w:r>
        <w:rPr>
          <w:i w:val="0"/>
          <w:iCs w:val="0"/>
          <w:shd w:val="clear" w:fill="auto"/>
        </w:rPr>
        <w:t xml:space="preserve">УПД за расчетный месяц </w:t>
      </w:r>
      <w:r>
        <w:rPr>
          <w:shd w:val="clear" w:fill="auto"/>
        </w:rPr>
        <w:t xml:space="preserve">в</w:t>
      </w:r>
      <w:r>
        <w:rPr>
          <w:shd w:val="clear" w:fill="auto"/>
        </w:rPr>
        <w:t xml:space="preserve"> указанный срок, либо подписи его неуполномоченными лицами, либо непредставлении подписанного полномочными лицами </w:t>
      </w:r>
      <w:r>
        <w:rPr>
          <w:i/>
          <w:iCs/>
          <w:shd w:val="clear" w:fill="auto"/>
        </w:rPr>
        <w:t xml:space="preserve"> </w:t>
      </w:r>
      <w:r>
        <w:rPr>
          <w:i w:val="0"/>
          <w:iCs w:val="0"/>
          <w:shd w:val="clear" w:fill="auto"/>
        </w:rPr>
        <w:t xml:space="preserve">УПД </w:t>
      </w:r>
      <w:r>
        <w:rPr>
          <w:shd w:val="clear" w:fill="auto"/>
        </w:rPr>
        <w:t xml:space="preserve">в необходимые сроки, за фактический прием тепловой энергии и теплоносителя принимаются данные Теплоснабжающей организации.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2.4.7.</w:t>
        <w:tab/>
        <w:t xml:space="preserve">Ежеквартально, в течение 3 (Трех) рабочих дней со дня получения, подписывать направленные Теплоснабжающей организацией Акты сверки задолженности за поданную тепловую энергию и теплоноситель и возвращать вторые экземпляры в обратный адрес. 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При наличии разногласий по сумме задолженности, Потребитель имеет право изложить свои возражения. В случае отказа или уклонения Потребителя от оформления Акта сверки, задолженность устанавливается по данным Теплоснабжающей организации.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2.4.8.</w:t>
        <w:tab/>
        <w:t xml:space="preserve">Уведомлять надлежащим образом Теплоснабжающую организацию о выходе узла учета из строя, а также о всех нарушениях и неисправностях в работе средств измерения на узлах коммерческого учета тепловой энергии и теплоносителя (Приложение № 5) в срок не позднее 1 (Одного) рабочего дня после обнаружения неисправности.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Потребитель обязан сообщить в Теплоснабжающую организацию данные о показаниях приборов узла учета на момент их выхода из строя.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2.4.9.</w:t>
        <w:tab/>
        <w:t xml:space="preserve">Обеспечить беспрепятственный доступ работников Теплоснабжающей организации к узлам учета и теплопотребляющим установкам Потребителя и его субабонентов для их осмотра, а также контроля эксплуатации узлов учета.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2.4.10.</w:t>
        <w:tab/>
        <w:t xml:space="preserve">Обеспечить качество обратной сетевой воды, соответствующее качеству воды, подаваемой Теплоснабжающей организацией Потребителю.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2.4.11.</w:t>
        <w:tab/>
        <w:t xml:space="preserve">Соблюдать среднесуточную температуру обратной сетевой воды  в точке поставки, не допуская превышения температуры более чем на 5 % от Температурного графика работы теплосети (Приложение № 4).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2.4.12.</w:t>
        <w:tab/>
        <w:t xml:space="preserve">Проводить ежегодно ремонт и наладку контрольно-измерительных приборов и оборудования систем теплоснабжения.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2.4.13.</w:t>
        <w:tab/>
        <w:t xml:space="preserve">Выполнять в согласованные сроки требования Теплоснабжающей организации по устранению недостатков на коммерческих узлах учета тепловой энергии и теплоносителя, </w:t>
      </w:r>
      <w:r>
        <w:rPr>
          <w:u w:val="none"/>
          <w:shd w:val="clear" w:fill="auto"/>
        </w:rPr>
        <w:t xml:space="preserve">а также нарушений режимов потребления тепловой энергии.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2.4.14.</w:t>
        <w:tab/>
        <w:t xml:space="preserve">Иметь подготовленный и аттестованный персонал для обслуживания системы теплопотребления и тепловой сети, проводить проверку его знаний в установленные сроки.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2.4.15.</w:t>
        <w:tab/>
        <w:t xml:space="preserve">За 10 (Десять) дней до отключения извещать Теплоснабжающую организацию об отключении тепловых сетей и теплопотребляющих установок Потребителя с указанием причин и времени отключения.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В случае аварийного отключения извещение Теплоснабжающей организации производится в течение часа после отключения.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2.4.16.</w:t>
        <w:tab/>
        <w:t xml:space="preserve">Производить дренирование систем теплопотребления при аварийном прекращении циркуляции теплоносителя в системе теплоснабжения и отрицательной температуре наружного воздуха по согласованию с Теплоснабжающей организацией.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2.4.17.</w:t>
        <w:tab/>
        <w:t xml:space="preserve">Немедленно сообщать в Теплоснабжающую организацию об изменениях юридического адреса, банковских реквизитов, наименования Потребителя, ведомственной принадлежности или формы собственности и других реквизитов, влияющих на надлежащее исполнение настоящего Договора.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2.4.18.</w:t>
        <w:tab/>
        <w:t xml:space="preserve">При реорганизации Потребителя, в течение 30 (Тридцати) дней с момента принятия соответствующего решения, представить Теплоснабжающей организации подтверждающие документы. 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2.4.19.</w:t>
        <w:tab/>
        <w:t xml:space="preserve">При ликвидации Потребителя направить Теплоснабжающей организации письмо о расторжении Договора не позднее 20 (Двадцати) дней до исключения Потребителя из Государственного реестра.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2.4.20. В случае отсутствия у Потребителя коммерческих узлов учета – установить приборы учета тепловой энергии и теплоносителя в трехмесячный срок с даты подписания настоящего Договора.</w:t>
      </w:r>
    </w:p>
    <w:p>
      <w:pPr>
        <w:pStyle w:val="Normal"/>
        <w:spacing w:before="0" w:after="0" w:line="240" w:lineRule="auto"/>
        <w:ind w:left="0" w:right="0" w:firstLine="540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2.4.21. Ежегодно, в срок до 1 (Первого) марта текущего года, предоставлять в Теплоснабжающую организацию заявку в произвольной форме на плановые помесячные объемы потребления тепловой энергии и теплоносителя на следующий за текущим календарный год.</w:t>
      </w:r>
      <w:r>
        <w:rPr>
          <w:rFonts w:eastAsia="Times New Roman" w:cs="Times New Roman"/>
          <w:color w:val="000000"/>
          <w:sz w:val="20"/>
          <w:szCs w:val="20"/>
          <w:shd w:val="clear" w:fill="auto"/>
        </w:rPr>
        <w:t xml:space="preserve"> Договорные объемы фиксируются в договоре теплоснабжения раздельно по видам потребления.</w:t>
      </w:r>
      <w:r>
        <w:rPr>
          <w:shd w:val="clear" w:fill="auto"/>
        </w:rPr>
        <w:t xml:space="preserve"> </w:t>
      </w:r>
      <w:r>
        <w:rPr>
          <w:rFonts w:eastAsia="Times New Roman" w:cs="Times New Roman"/>
          <w:color w:val="000000"/>
          <w:sz w:val="20"/>
          <w:szCs w:val="20"/>
          <w:shd w:val="clear" w:fill="auto"/>
        </w:rPr>
        <w:t xml:space="preserve">Если объем потребления не заявлен в указанные сроки, в следующем году действуют объемы потребления текущего года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Заявка согласуется Сторонами.</w:t>
      </w:r>
    </w:p>
    <w:p>
      <w:pPr>
        <w:pStyle w:val="Normal"/>
        <w:spacing w:before="0" w:after="0"/>
        <w:ind w:right="0" w:firstLine="567"/>
        <w:contextualSpacing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2.4.22. В случае необходимости бесперебойного теплоснабжения объектов Потребителя, иметь резервный независимый от Теплоснабжающей организации источник тепловой энергии.</w:t>
      </w:r>
    </w:p>
    <w:p>
      <w:pPr>
        <w:pStyle w:val="Normal"/>
        <w:spacing w:before="0" w:after="120"/>
        <w:ind w:right="57" w:firstLine="567"/>
        <w:contextualSpacing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2.4.23. Соблюдать предусмотренные настоящим Договором режимы теплопотребления.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2.4.24 </w:t>
      </w:r>
      <w:r>
        <w:rPr>
          <w:color w:val="000000" w:themeColor="text1"/>
          <w:shd w:val="clear" w:fill="auto"/>
        </w:rPr>
        <w:t xml:space="preserve">После получения от Теплоснабжающей организации рекомендаций по наладке тепловых сетей и теплопотребляющих установок, в том числе режима потребления тепловой энергии, параметров качества и иных параметров, включенных в договор теплоснабжения, которые могут повлиять на качество и надежность теплоснабжения Потребителя и (или) других потребителей в системе теплоснабжения в течение 3 (трех) рабочих дней уведомить Теплоснабжающую организацию о принятых к исполнению рекомендациях и о сроках проведения конкретных мероприятий, направленных на реализацию таких рекомендаций. Неисполнение выданных рекомендаций влечет ответственность, предусмотренную пунктом </w:t>
      </w:r>
      <w:r>
        <w:rPr>
          <w:vanish w:val="0"/>
          <w:color w:val="000000" w:themeColor="text1"/>
          <w:shd w:val="clear" w:fill="auto"/>
        </w:rPr>
        <w:t xml:space="preserve"> 7.21</w:t>
      </w:r>
      <w:r>
        <w:rPr>
          <w:color w:val="000000" w:themeColor="text1"/>
          <w:shd w:val="clear" w:fill="auto"/>
        </w:rPr>
        <w:t xml:space="preserve"> Договора, а так же дает право Теплоснабжающей организации вводить принудительное ограничение расхода, в соответствии с п. 2.3.4, 2.3.5  Договора;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color w:val="000000" w:themeColor="text1"/>
          <w:shd w:val="clear" w:fill="auto"/>
        </w:rPr>
        <w:t xml:space="preserve">2.4.25 Не позднее чем в течении 10 (десяти) </w:t>
      </w:r>
      <w:r>
        <w:rPr>
          <w:vanish w:val="0"/>
          <w:color w:val="000000" w:themeColor="text1"/>
          <w:shd w:val="clear" w:fill="auto"/>
        </w:rPr>
        <w:t xml:space="preserve">рабочих </w:t>
      </w:r>
      <w:r>
        <w:rPr>
          <w:color w:val="000000" w:themeColor="text1"/>
          <w:shd w:val="clear" w:fill="auto"/>
        </w:rPr>
        <w:t xml:space="preserve">дней после получения предварительного уведомления от Теплоснабжающей организации предоставить Теплоснабжающей организации беспрепятственный доступ к тепловым сетям и теплопотребляющим установкам  </w:t>
      </w:r>
      <w:r>
        <w:rPr>
          <w:rFonts w:cs="Times New Roman"/>
          <w:color w:val="000000" w:themeColor="text1"/>
          <w:szCs w:val="24"/>
          <w:shd w:val="clear" w:fill="auto"/>
        </w:rPr>
        <w:t xml:space="preserve">в целях </w:t>
      </w:r>
      <w:r>
        <w:rPr>
          <w:color w:val="000000" w:themeColor="text1"/>
          <w:shd w:val="clear" w:fill="auto"/>
        </w:rPr>
        <w:t xml:space="preserve">контроля хода выполнения мероприятий, направленных на реализацию предложенных Теплоснабжающей организацией рекомендаций по наладке тепловых сетей и теплопотребляющих установок объекта(-ов), в том числе режима потребления тепловой энергии, параметров качества и иных параметров, включенных в договор теплоснабжения, которые могут повлиять на качество и надежность теплоснабжения Потребителя и (или) других потребителей в системе теплоснабжения.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2.5.</w:t>
        <w:tab/>
        <w:t xml:space="preserve">Потребитель имеет право: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2.5.1.</w:t>
        <w:tab/>
        <w:t xml:space="preserve">Заявлять Теплоснабжающей организации об ошибках, обнаруженных в платежном документе. Подача заявления об ошибке в платежном документе не освобождает Потребителя от обязанности произвести оплату в срок, установленный настоящим Договором в соответствии с п. 5.3.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2.5.2.</w:t>
        <w:tab/>
        <w:t xml:space="preserve">Только с согласия Теплоснабжающей организации подключать к своим сетям субабонентов и требовать от них обязательной установки приборов учета тепловой энергии и теплоносителя.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2.5.3.</w:t>
        <w:tab/>
        <w:t xml:space="preserve">Обращаться в Теплоснабжающую организацию за разъяснением вопросов, связанных с режимами отпуска тепловой энергии и теплоносителя, а также расчетов за них.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2.5.4. Требовать проверки приборов коммерческого учёта тепловой энергии и теплоносителя, принадлежащих Теплоснабжающей организации.</w:t>
      </w:r>
    </w:p>
    <w:p>
      <w:pPr>
        <w:pStyle w:val="Normal"/>
        <w:ind w:right="0" w:firstLine="0"/>
        <w:jc w:val="both"/>
        <w:rPr>
          <w:i/>
          <w:color w:val="ff0000"/>
          <w:highlight w:val="none"/>
          <w:shd w:val="clear" w:fill="auto"/>
        </w:rPr>
      </w:pPr>
      <w:r>
        <w:rPr>
          <w:i/>
          <w:color w:val="ff0000"/>
          <w:shd w:val="clear" w:fill="auto"/>
        </w:rPr>
      </w:r>
    </w:p>
    <w:p>
      <w:pPr>
        <w:pStyle w:val="Normal"/>
        <w:ind w:right="0" w:firstLine="567"/>
        <w:jc w:val="center"/>
        <w:rPr>
          <w:highlight w:val="none"/>
          <w:shd w:val="clear" w:fill="auto"/>
        </w:rPr>
      </w:pPr>
      <w:r>
        <w:rPr>
          <w:shd w:val="clear" w:fill="auto"/>
        </w:rPr>
        <w:t xml:space="preserve">3. УЧЕТ ТЕПЛОВОЙ ЭНЕРГИИ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3.1.</w:t>
        <w:tab/>
        <w:t xml:space="preserve">Теплоснабжающая организация осуществляет учет тепловой энергии и теплоносителя по приборам коммерческого учета тепловой энергии и теплоносителя, указанным в Приложении № 5. Показания дополнительных приборов учета, установленных у субабонентов, при расчете не учитываются.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3.2.</w:t>
        <w:tab/>
        <w:t xml:space="preserve">Узел учета тепловой энергии оборудуется средствами измерения (теплосчетчиками, водосчетчиками, приборами, регистрирующими параметры теплоносителя и др.), зарегистрированными в государственном реестре средств измерений. Каждый прибор учета должен проходить поверку с периодичностью, предусмотренной для него уполномоченным федеральным органом исполнительной власти в сфере технического регулирования и метрологии. 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3.3.</w:t>
        <w:tab/>
        <w:t xml:space="preserve">Узел учета Потребителя считается допущенным в эксплуатацию после подписания соответствующего Акта представителями Теплоснабжающей организации и Потребителя.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3.4.</w:t>
        <w:tab/>
        <w:t xml:space="preserve">Обслуживание (технический осмотр, ремонт), обеспечение сохранности, своевременная замена и поверка расчетных приборов учета осуществляется собственником приборов учета.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3.5.</w:t>
        <w:tab/>
        <w:t xml:space="preserve">Приборы узла учета должны быть защищены от несанкционированного вмешательства в их работу, нарушающего достоверный учет тепловой энергии, измерения массы (объёма) теплоносителя, регистрации и хранения измеряемых параметров теплоносителя.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3.6.</w:t>
        <w:tab/>
        <w:t xml:space="preserve">При установке расчетного узла учета не на границе балансовой принадлежности теплосети, общее количество потребленной Потребителем тепловой энергии и теплоносителя определяются по показаниям приборов учета с учетом расчетных потерь тепловой энергии и теплоносителя на участке сети от границы балансовой принадлежности до места установки узла учета (Приложение № 8).</w:t>
      </w:r>
    </w:p>
    <w:p>
      <w:pPr>
        <w:pStyle w:val="Normal"/>
        <w:widowControl/>
        <w:numPr>
          <w:numId w:val="0"/>
          <w:ilvl w:val="0"/>
        </w:numPr>
        <w:ind w:left="0" w:right="0" w:firstLine="540"/>
        <w:jc w:val="both"/>
        <w:outlineLvl w:val="1"/>
        <w:rPr>
          <w:highlight w:val="none"/>
          <w:shd w:val="clear" w:fill="auto"/>
        </w:rPr>
      </w:pPr>
      <w:r>
        <w:rPr>
          <w:shd w:val="clear" w:fill="auto"/>
        </w:rPr>
        <w:t xml:space="preserve">3.7.</w:t>
        <w:tab/>
      </w:r>
      <w:r>
        <w:rPr>
          <w:rFonts w:eastAsia="Times New Roman" w:cs="Times New Roman"/>
          <w:color w:val="000000"/>
          <w:sz w:val="20"/>
          <w:szCs w:val="20"/>
          <w:shd w:val="clear" w:fill="auto"/>
        </w:rPr>
        <w:t xml:space="preserve">При неисправности приборов учета, истечении срока их поверки, включая вывод из работы для ремонта или поверки на срок до 15 суток, в качестве базового показателя для расчета тепловой энергии, теплоносителя принимается среднесуточное количество тепловой энергии, теплоносителя, определенное по приборам учета за время штатной работы в отчетный период, приведенное к расчетной температуре наружного воздуха.</w:t>
      </w:r>
    </w:p>
    <w:p>
      <w:pPr>
        <w:pStyle w:val="Normal"/>
        <w:widowControl/>
        <w:numPr>
          <w:numId w:val="0"/>
          <w:ilvl w:val="0"/>
        </w:numPr>
        <w:ind w:left="0" w:right="0" w:firstLine="540"/>
        <w:jc w:val="both"/>
        <w:outlineLvl w:val="1"/>
        <w:rPr>
          <w:highlight w:val="none"/>
          <w:shd w:val="clear" w:fill="auto"/>
        </w:rPr>
      </w:pPr>
      <w:r>
        <w:rPr>
          <w:shd w:val="clear" w:fill="auto"/>
        </w:rPr>
        <w:t xml:space="preserve">3.8. </w:t>
        <w:tab/>
        <w:t xml:space="preserve">При отсутствии коммерческого узла учета тепловой энергии, фактическое количество тепловой энергии и теплоносителя, полученное Потребителем, определяется расчётным методом с использованием методических указаний, норм и правил, установленных действующим законодательством Российской Федерации.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Фактическое расчетное количество потребленной тепловой энергии и теплоносителя определяется с учётом потерь в тепловых сетях Потребителя, расположенных на участке от границы балансовой принадлежности до объекта Потребителя (Приложение № 8). 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Определенное Теплоснабжающей организацией расчетным методом количество тепловой энергии и теплоносителя указывается в </w:t>
      </w:r>
      <w:r>
        <w:rPr>
          <w:i w:val="0"/>
          <w:iCs w:val="0"/>
          <w:shd w:val="clear" w:fill="auto"/>
        </w:rPr>
        <w:t xml:space="preserve">УПД </w:t>
      </w:r>
      <w:r>
        <w:rPr>
          <w:shd w:val="clear" w:fill="auto"/>
        </w:rPr>
        <w:t xml:space="preserve"> и направляется в адрес Потребителя в срок согласно п. 2.2.5. настоящего Договора.</w:t>
      </w:r>
    </w:p>
    <w:p>
      <w:pPr>
        <w:pStyle w:val="Normal"/>
        <w:spacing w:before="0" w:after="0" w:line="240" w:lineRule="auto"/>
        <w:ind w:left="0" w:right="0" w:firstLine="540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3.9.</w:t>
        <w:tab/>
        <w:t xml:space="preserve">Нарушение требований эксплуатации узла учета тепловой энергии и теплоносителя, изложенных в технической документации к узлу учета (принципиальная схема теплового пункта, проект на узел учета, паспорта на приборы учета, технологические схемы узла учета и др.), приравнивается к выходу из строя узла учета тепловой энергии и теплоносителя. </w:t>
      </w:r>
      <w:r>
        <w:rPr>
          <w:rFonts w:eastAsia="Times New Roman" w:cs="Times New Roman"/>
          <w:color w:val="000000"/>
          <w:sz w:val="24"/>
          <w:shd w:val="clear" w:fill="auto"/>
        </w:rPr>
        <w:t xml:space="preserve"> </w:t>
      </w:r>
      <w:r>
        <w:rPr>
          <w:rFonts w:eastAsia="Times New Roman" w:cs="Times New Roman"/>
          <w:color w:val="000000"/>
          <w:sz w:val="20"/>
          <w:szCs w:val="20"/>
          <w:shd w:val="clear" w:fill="auto"/>
        </w:rPr>
        <w:t xml:space="preserve">Время выхода прибора учета из строя определяется по данным архива тепловычислителя, а при их отсутствии - с даты сдачи последнего отчета о теплопотреблении</w:t>
      </w:r>
      <w:r>
        <w:rPr>
          <w:rFonts w:eastAsia="Times New Roman" w:cs="Times New Roman"/>
          <w:color w:val="ff0000"/>
          <w:sz w:val="20"/>
          <w:szCs w:val="20"/>
          <w:shd w:val="clear" w:fill="auto"/>
        </w:rPr>
        <w:t xml:space="preserve">.</w:t>
      </w:r>
    </w:p>
    <w:p>
      <w:pPr>
        <w:pStyle w:val="Normal"/>
        <w:spacing w:before="0" w:after="0" w:line="240" w:lineRule="auto"/>
        <w:ind w:left="0" w:right="0" w:firstLine="540"/>
        <w:jc w:val="both"/>
        <w:rPr>
          <w:highlight w:val="none"/>
          <w:shd w:val="clear" w:fill="auto"/>
        </w:rPr>
      </w:pPr>
      <w:r>
        <w:rPr>
          <w:rFonts w:eastAsia="Times New Roman" w:cs="Times New Roman"/>
          <w:color w:val="000000"/>
          <w:sz w:val="20"/>
          <w:szCs w:val="20"/>
          <w:shd w:val="clear" w:fill="auto"/>
        </w:rPr>
        <w:t xml:space="preserve">При выявлении каких-либо нарушений в функционировании узла учета потребитель обязан в течение суток известить об этом обслуживающую организацию и теплоснабжающую организацию и составить акт, подписанный представителями потребителя и обслуживающей организации. Потребитель передает этот акт в теплоснабжающую организацию вместе с отчетом о теплопотреблении за соответствующий период в сроки, в соответствии с п. 2.4.5 договора.</w:t>
      </w:r>
    </w:p>
    <w:p>
      <w:pPr>
        <w:pStyle w:val="Normal"/>
        <w:widowControl w:val="off"/>
        <w:spacing w:before="0" w:after="0" w:line="240" w:lineRule="auto"/>
        <w:ind w:left="0"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3.10.</w:t>
        <w:tab/>
        <w:t xml:space="preserve">При несвоевременном сообщении Потребителем о выходе из строя узла учета, нарушений режима и условий работы узла учета по вине Потребителя, выявленных, в том числе в ходе проверки со стороны Теплоснабжающей организации, а также по истечении срока действия государственной поверки узел учета считается вышедшим из строя с момента его последней проверки Теплоснабжающей организацией. Расчет за потребленную тепловую энергию в этом случае производится в соответствии с п. 3.8. настоящего Договора.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3.11.</w:t>
        <w:tab/>
        <w:t xml:space="preserve">Узел учета тепловой энергии и теплоносителя считается вышедшим из строя в случаях: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- несанкционированного вмешательства в его работу, нарушающего достоверный учет тепловой энергии и теплоносителя и регистрацию параметров теплоносителя;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 </w:t>
      </w:r>
      <w:r>
        <w:rPr>
          <w:shd w:val="clear" w:fill="auto"/>
        </w:rPr>
        <w:t xml:space="preserve">- нарушения пломб на оборудовании узла учета, линий электрических связей;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 </w:t>
      </w:r>
      <w:r>
        <w:rPr>
          <w:shd w:val="clear" w:fill="auto"/>
        </w:rPr>
        <w:t xml:space="preserve">- неисправности (в том числе механического повреждения) приборов и элементов узла учета, а также работы любого из них за пределами норм точности, установленными Правилами коммерческого учета тепловой энергии и теплоносителя;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- просроченной поверки хотя бы одного из приборов, входящих в состав узла учёта;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- обнаружения несанкционированных врезок в трубопроводы, не предусмотренных проектом узла учета.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3.12.</w:t>
        <w:tab/>
        <w:t xml:space="preserve">Узел учета Потребителя может использоваться его владельцем для контроля качества тепловой энергии. 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Отсутствие у Потребителя средств измерений, необходимых для контроля качества тепловой энергии, лишает его права предъявлять претензии Теплоснабжающей организации по качеству тепловой энергии.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3.13.</w:t>
        <w:tab/>
        <w:t xml:space="preserve">Учет потерь тепловой энергии и теплоносителя в виде технологических сливов через сети Потребителя (во время ремонта, испытаний, промывки, заполнения трубопроводов и систем теплопотребления и т.п.) ведется по отдельным актам и включается в общий объем потребления Потребителя.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При отказе Потребителем подписания указанного акта, за фактический объем потребления тепловой энергии и теплоносителя принимаются данные Теплоснабжающей организации.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3.14. </w:t>
        <w:tab/>
        <w:t xml:space="preserve">При нарушении схем расчетного учёта, повреждении или хищении её элементов, срыве пломб и т.д. – замена, а также поверка расчетных приборов учёта и контроля производится за счет собственника прибора учёта.</w:t>
      </w:r>
    </w:p>
    <w:p>
      <w:pPr>
        <w:pStyle w:val="Normal"/>
        <w:tabs>
          <w:tab w:val="clear" w:pos="708"/>
          <w:tab w:val="left" w:pos="6237" w:leader="none"/>
        </w:tabs>
        <w:ind w:right="0" w:firstLine="0"/>
        <w:jc w:val="both"/>
        <w:rPr>
          <w:color w:val="ff0000"/>
          <w:highlight w:val="none"/>
          <w:shd w:val="clear" w:fill="auto"/>
        </w:rPr>
      </w:pPr>
      <w:r>
        <w:rPr>
          <w:color w:val="ff0000"/>
          <w:shd w:val="clear" w:fill="auto"/>
        </w:rPr>
      </w:r>
    </w:p>
    <w:p>
      <w:pPr>
        <w:pStyle w:val="Normal"/>
        <w:ind w:right="0" w:firstLine="567"/>
        <w:jc w:val="center"/>
        <w:rPr>
          <w:highlight w:val="none"/>
          <w:shd w:val="clear" w:fill="auto"/>
        </w:rPr>
      </w:pPr>
      <w:r>
        <w:rPr>
          <w:shd w:val="clear" w:fill="auto"/>
        </w:rPr>
        <w:t xml:space="preserve">4. ЦЕНА ДОГОВОРА И ТАРИФЫ НА ТЕПЛОВУЮ ЭНЕРГИЮ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4.1. Расчет стоимости принятой тепловой энергии и потребленного теплоносителя производится по тарифам, установленным для Теплоснабжающей организации в соответствии с законодательством Российской Федерации, увеличенным на сумму налога на добавленную стоимость.</w:t>
      </w:r>
      <w:bookmarkStart w:id="0" w:name="undefined"/>
      <w:bookmarkEnd w:id="0"/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4.2. Ориентировочная цена настоящего Договора указывается в Приложении № 1, составляет _________ (сумма прописью), в том числе НДС ( __%) ______ (сумма прописью), по тарифам и ценам, действующим на дату заключения Договора. Сумма НДС, подлежащая уплате по данному договору, определяется на дату реализации товаров (работ, услуг) по действующей ставке в соответствии НК РФ.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В случае изменения тарифов на тепловую энергию и (или) теплоноситель, цена настоящего Договора подлежит изменению с даты введения в действие новых тарифов на тепловую энергию и (или) теплоноситель.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Изменение тарифов на тепловую энергию и теплоноситель публикуются в средствах массовой информации без дополнительного уведомления Потребителя и принимаются Сторонами без оформления дополнительного соглашения.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Окончательная сумма договора определяется на основании стоимости фактически потребленных теплоносителя и тепловой энергии за весь период действия настоящего договора. 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4.3.</w:t>
      </w:r>
      <w:bookmarkStart w:id="1" w:name="undefined_Копия_1"/>
      <w:r>
        <w:rPr>
          <w:shd w:val="clear" w:fill="auto"/>
        </w:rPr>
        <w:t xml:space="preserve"> Потребитель </w:t>
      </w:r>
      <w:bookmarkEnd w:id="1"/>
      <w:r>
        <w:rPr>
          <w:shd w:val="clear" w:fill="auto"/>
        </w:rPr>
        <w:t xml:space="preserve">оплачивает все фактическое количество тепловой энергии и потреблённого теплоносителя, отпущенного Теплоснабжающей организацией, и тепловые потери  от границы балансовой принадлежности сетей до узлов учёта Потребителя, по тарифам, утвержденным уполномоченным органом исполнительной власти в области регулирования тарифов, в соответствии с п. 4.1. настоящего Договора.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</w:r>
    </w:p>
    <w:p>
      <w:pPr>
        <w:pStyle w:val="Normal"/>
        <w:ind w:right="0" w:firstLine="567"/>
        <w:jc w:val="center"/>
        <w:rPr>
          <w:highlight w:val="none"/>
          <w:shd w:val="clear" w:fill="auto"/>
        </w:rPr>
      </w:pPr>
      <w:r>
        <w:rPr>
          <w:shd w:val="clear" w:fill="auto"/>
        </w:rPr>
        <w:t xml:space="preserve">5. ПОРЯДОК РАСЧЕТОВ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5.1.</w:t>
        <w:tab/>
        <w:t xml:space="preserve">За расчетный период принимается один календарный месяц.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5.2.</w:t>
        <w:tab/>
        <w:t xml:space="preserve">Оплата за тепловую энергию и теплоноситель по настоящему Договору производится Потребителем денежными средствами. Датой оплаты считается день поступления денежных средств на расчетный счет Теплоснабжающей организации.</w:t>
      </w:r>
    </w:p>
    <w:p>
      <w:pPr>
        <w:pStyle w:val="Normal"/>
        <w:shd w:val="clear" w:color="auto" w:fill="ffffff"/>
        <w:spacing w:before="0" w:after="120"/>
        <w:ind w:right="57"/>
        <w:contextualSpacing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           </w:t>
      </w:r>
      <w:r>
        <w:rPr>
          <w:shd w:val="clear" w:fill="auto"/>
        </w:rPr>
        <w:t xml:space="preserve">5.3.</w:t>
        <w:tab/>
        <w:t xml:space="preserve">Потребитель обязуется производить оплату за расчетный период по настоящему Договору в следующем порядке и сроки: </w:t>
      </w:r>
    </w:p>
    <w:p>
      <w:pPr>
        <w:pStyle w:val="Normal"/>
        <w:shd w:val="clear" w:color="auto" w:fill="ffffff"/>
        <w:spacing w:before="0" w:after="120"/>
        <w:ind w:right="57"/>
        <w:contextualSpacing/>
        <w:jc w:val="both"/>
        <w:rPr>
          <w:highlight w:val="none"/>
          <w:shd w:val="clear" w:fill="auto"/>
        </w:rPr>
      </w:pPr>
      <w:r>
        <w:rPr>
          <w:shd w:val="clear" w:fill="auto"/>
        </w:rPr>
      </w:r>
    </w:p>
    <w:p>
      <w:pPr>
        <w:pStyle w:val="Normal"/>
        <w:shd w:val="clear" w:color="auto" w:fill="ffffff"/>
        <w:spacing w:before="0" w:after="120"/>
        <w:ind w:right="57"/>
        <w:contextualSpacing/>
        <w:jc w:val="both"/>
        <w:rPr>
          <w:highlight w:val="none"/>
          <w:shd w:val="clear" w:fill="auto"/>
        </w:rPr>
      </w:pPr>
      <w:r>
        <w:rPr>
          <w:i/>
          <w:shd w:val="clear" w:fill="auto"/>
        </w:rPr>
        <w:t xml:space="preserve">Вариант  1:</w:t>
      </w:r>
    </w:p>
    <w:p>
      <w:pPr>
        <w:pStyle w:val="Normal"/>
        <w:shd w:val="clear" w:color="auto" w:fill="ffffff"/>
        <w:spacing w:before="0" w:after="0"/>
        <w:ind w:right="57"/>
        <w:contextualSpacing/>
        <w:jc w:val="both"/>
        <w:rPr>
          <w:highlight w:val="none"/>
          <w:shd w:val="clear" w:fill="auto"/>
        </w:rPr>
      </w:pPr>
      <w:r>
        <w:rPr>
          <w:shd w:val="clear" w:fill="auto"/>
        </w:rPr>
        <w:tab/>
      </w:r>
      <w:r>
        <w:rPr>
          <w:i/>
          <w:shd w:val="clear" w:fill="auto"/>
        </w:rPr>
        <w:t xml:space="preserve">- до 18 (Восемнадцатого) числа расчетного месяца – первый промежуточный платеж в размере 35% от стоимости планового количества тепловой энергии и теплоносителя за расчетный период, указанного в приложении № 1; </w:t>
      </w:r>
    </w:p>
    <w:p>
      <w:pPr>
        <w:pStyle w:val="Normal"/>
        <w:shd w:val="clear" w:color="auto" w:fill="ffffff"/>
        <w:spacing w:before="0" w:after="0"/>
        <w:ind w:right="57"/>
        <w:contextualSpacing/>
        <w:jc w:val="both"/>
        <w:rPr>
          <w:highlight w:val="none"/>
          <w:shd w:val="clear" w:fill="auto"/>
        </w:rPr>
      </w:pPr>
      <w:r>
        <w:rPr>
          <w:i/>
          <w:shd w:val="clear" w:fill="auto"/>
        </w:rPr>
        <w:tab/>
        <w:t xml:space="preserve"> - до последнего числа расчетного месяца - второй промежуточный платеж в размере 50 % от стоимости количества тепловой энергии и теплоносителя за расчетный период, указанного в приложении № 1;</w:t>
      </w:r>
    </w:p>
    <w:p>
      <w:pPr>
        <w:pStyle w:val="Normal"/>
        <w:spacing w:before="0" w:after="0"/>
        <w:ind w:right="0" w:firstLine="708"/>
        <w:contextualSpacing/>
        <w:jc w:val="both"/>
        <w:rPr>
          <w:highlight w:val="none"/>
          <w:shd w:val="clear" w:fill="auto"/>
        </w:rPr>
      </w:pPr>
      <w:r>
        <w:rPr>
          <w:i/>
          <w:shd w:val="clear" w:fill="auto"/>
        </w:rPr>
        <w:t xml:space="preserve">- до 10 (Десятого) числа месяца, следующего за расчетным – окончательный расчет за фактическое количество тепловой энергии и теплоносителя, полученных Потребителем в расчетном периоде. </w:t>
      </w:r>
    </w:p>
    <w:p>
      <w:pPr>
        <w:pStyle w:val="Normal"/>
        <w:shd w:val="clear" w:color="auto" w:fill="ffffff"/>
        <w:spacing w:before="0" w:after="120"/>
        <w:ind w:right="57"/>
        <w:contextualSpacing/>
        <w:jc w:val="both"/>
        <w:rPr>
          <w:highlight w:val="none"/>
          <w:shd w:val="clear" w:fill="auto"/>
        </w:rPr>
      </w:pPr>
      <w:r>
        <w:rPr>
          <w:i/>
          <w:shd w:val="clear" w:fill="auto"/>
        </w:rPr>
        <w:tab/>
        <w:t xml:space="preserve">В случае если объем фактического потребления тепловой энергии и теплоносителя за расчётный  месяц меньше планируемого объема на расчетный месяц, излишне уплаченная Потребителем сумма засчитывается в счет платежа за следующий месяц (расчетный период). </w:t>
      </w:r>
    </w:p>
    <w:p>
      <w:pPr>
        <w:pStyle w:val="Normal"/>
        <w:spacing w:before="0" w:after="0"/>
        <w:ind w:right="0" w:firstLine="567"/>
        <w:contextualSpacing/>
        <w:jc w:val="both"/>
        <w:rPr>
          <w:highlight w:val="none"/>
          <w:shd w:val="clear" w:fill="auto"/>
        </w:rPr>
      </w:pPr>
      <w:r>
        <w:rPr>
          <w:i/>
          <w:shd w:val="clear" w:fill="auto"/>
        </w:rPr>
        <w:t xml:space="preserve">Если дата предварительной и фактической оплаты приходится на выходные или праздничные дни, то   обязанность по оплате  должна быть исполнена Потребителем в первый рабочий день, следующий за ними.</w:t>
      </w:r>
    </w:p>
    <w:p>
      <w:pPr>
        <w:pStyle w:val="Normal"/>
        <w:spacing w:before="0" w:after="0"/>
        <w:ind w:right="0" w:firstLine="567"/>
        <w:contextualSpacing/>
        <w:jc w:val="both"/>
        <w:rPr>
          <w:i/>
          <w:highlight w:val="none"/>
          <w:shd w:val="clear" w:fill="auto"/>
        </w:rPr>
      </w:pPr>
      <w:r>
        <w:rPr>
          <w:i/>
          <w:shd w:val="clear" w:fill="auto"/>
        </w:rPr>
      </w:r>
    </w:p>
    <w:p>
      <w:pPr>
        <w:pStyle w:val="Normal"/>
        <w:spacing w:before="0" w:after="0"/>
        <w:contextualSpacing/>
        <w:jc w:val="both"/>
        <w:rPr>
          <w:highlight w:val="none"/>
          <w:shd w:val="clear" w:fill="auto"/>
        </w:rPr>
      </w:pPr>
      <w:r>
        <w:rPr>
          <w:i/>
          <w:shd w:val="clear" w:fill="auto"/>
        </w:rPr>
        <w:t xml:space="preserve">Вариант 2:</w:t>
      </w:r>
    </w:p>
    <w:p>
      <w:pPr>
        <w:pStyle w:val="Normal"/>
        <w:spacing w:before="0" w:after="0"/>
        <w:contextualSpacing/>
        <w:jc w:val="both"/>
        <w:rPr>
          <w:highlight w:val="none"/>
          <w:shd w:val="clear" w:fill="auto"/>
        </w:rPr>
      </w:pPr>
      <w:r>
        <w:rPr>
          <w:i/>
          <w:shd w:val="clear" w:fill="auto"/>
        </w:rPr>
        <w:tab/>
        <w:t xml:space="preserve">Расчет за фактически поставленную тепловую энергию и теплоноситель по настоящему Договору в расчетном периоде осуществляется Потребителем не позднее 10 (Десятого) числа месяца, следующего за расчетным.</w:t>
      </w:r>
    </w:p>
    <w:p>
      <w:pPr>
        <w:pStyle w:val="Normal"/>
        <w:spacing w:before="0" w:after="0"/>
        <w:ind w:right="0" w:firstLine="567"/>
        <w:contextualSpacing/>
        <w:jc w:val="both"/>
        <w:rPr>
          <w:highlight w:val="none"/>
          <w:shd w:val="clear" w:fill="auto"/>
        </w:rPr>
      </w:pPr>
      <w:r>
        <w:rPr>
          <w:i/>
          <w:shd w:val="clear" w:fill="auto"/>
        </w:rPr>
        <w:t xml:space="preserve">Если дата оплаты приходится на выходные или праздничные дни, то обязанность по оплате  должна быть исполнена Потребителем в  первый рабочий день, следующий за ними.</w:t>
      </w:r>
    </w:p>
    <w:p>
      <w:pPr>
        <w:pStyle w:val="Normal"/>
        <w:spacing w:before="0" w:after="0"/>
        <w:ind w:right="0" w:firstLine="567"/>
        <w:contextualSpacing/>
        <w:jc w:val="both"/>
        <w:rPr>
          <w:i/>
          <w:highlight w:val="none"/>
          <w:shd w:val="clear" w:fill="auto"/>
        </w:rPr>
      </w:pPr>
      <w:r>
        <w:rPr>
          <w:i/>
          <w:shd w:val="clear" w:fill="auto"/>
        </w:rPr>
      </w:r>
    </w:p>
    <w:p>
      <w:pPr>
        <w:pStyle w:val="Normal"/>
        <w:spacing w:before="0" w:after="0"/>
        <w:contextualSpacing/>
        <w:jc w:val="both"/>
        <w:rPr>
          <w:highlight w:val="none"/>
          <w:shd w:val="clear" w:fill="auto"/>
        </w:rPr>
      </w:pPr>
      <w:r>
        <w:rPr>
          <w:i/>
          <w:shd w:val="clear" w:fill="auto"/>
        </w:rPr>
        <w:t xml:space="preserve">Вариант 3: Иное</w:t>
      </w:r>
    </w:p>
    <w:p>
      <w:pPr>
        <w:pStyle w:val="Normal"/>
        <w:spacing w:before="0" w:after="0"/>
        <w:contextualSpacing/>
        <w:jc w:val="both"/>
        <w:rPr>
          <w:i/>
          <w:color w:val="ff0000"/>
          <w:highlight w:val="none"/>
          <w:shd w:val="clear" w:fill="auto"/>
        </w:rPr>
      </w:pPr>
      <w:r>
        <w:rPr>
          <w:i/>
          <w:color w:val="ff0000"/>
          <w:shd w:val="clear" w:fill="auto"/>
        </w:rPr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i/>
          <w:shd w:val="clear" w:fill="auto"/>
        </w:rPr>
        <w:t xml:space="preserve">5.4.</w:t>
        <w:tab/>
        <w:t xml:space="preserve">Между сторонами настоящего Договора возможен зачет встречных однородных требований. Зачет производится путем направления одной из сторон в адрес другой заявления о зачете.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5.5.</w:t>
        <w:tab/>
        <w:t xml:space="preserve">При осуществлении платежа, Потребитель указывает в платежных документах номер настоящего Договора, </w:t>
      </w:r>
      <w:r>
        <w:rPr>
          <w:i w:val="0"/>
          <w:iCs w:val="0"/>
          <w:shd w:val="clear" w:fill="auto"/>
        </w:rPr>
        <w:t xml:space="preserve"> УПД,</w:t>
      </w:r>
      <w:r>
        <w:rPr>
          <w:shd w:val="clear" w:fill="auto"/>
        </w:rPr>
        <w:t xml:space="preserve"> на основании которых производится платеж.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5.6.</w:t>
        <w:tab/>
        <w:t xml:space="preserve">В случае отсутствия информации в платежных документах в соответствии с требованиями п. 5.5. настоящего Договора, Теплоснабжающая организация самостоятельно определяет назначение платежа в рамках исполнения денежных обязательств, возникших из настоящего Договора.</w:t>
      </w:r>
    </w:p>
    <w:p>
      <w:pPr>
        <w:pStyle w:val="Normal"/>
        <w:shd w:val="clear" w:color="auto" w:fill="ffffff"/>
        <w:spacing w:before="0" w:after="120"/>
        <w:ind w:right="57"/>
        <w:jc w:val="both"/>
        <w:rPr>
          <w:color w:val="ff0000"/>
          <w:highlight w:val="none"/>
          <w:shd w:val="clear" w:fill="auto"/>
        </w:rPr>
      </w:pPr>
      <w:r>
        <w:rPr>
          <w:color w:val="ff0000"/>
          <w:shd w:val="clear" w:fill="auto"/>
        </w:rPr>
      </w:r>
    </w:p>
    <w:p>
      <w:pPr>
        <w:pStyle w:val="Normal"/>
        <w:ind w:right="0" w:firstLine="567"/>
        <w:jc w:val="center"/>
        <w:rPr>
          <w:highlight w:val="none"/>
          <w:shd w:val="clear" w:fill="auto"/>
        </w:rPr>
      </w:pPr>
      <w:r>
        <w:rPr>
          <w:shd w:val="clear" w:fill="auto"/>
        </w:rPr>
        <w:t xml:space="preserve">6. ОСОБЫЕ УСЛОВИЯ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6.1.</w:t>
        <w:tab/>
        <w:t xml:space="preserve">В отопительный период включение в работу теплоиспользующих установок Потребителя производится при условии оформления, совместно с Теплоснабжающей организацией и Потребителем, Акта готовности Потребителя к пуску тепловой энергии и теплоносителя (Приложение № 9), подтверждающего техническую готовность сетей и теплопотребляющих установок Потребителя к подключению отопительной нагрузки, а также: 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-  отсутствия задолженности у Потребителя за потребленную тепловую энергию и теплоноситель или при наличии подписанного дополнительного соглашения о реструктуризации задолженности;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-  наличия у Потребителя гарантии оплаты за текущее потребление.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В противном случае, при наличии у Потребителя задолженности за потребленную тепловую энергию и теплоноситель за два и более периода платежа в предыдущем отопительном периоде, Теплоснабжающая организация вправе вводить ограничения подачи тепловой энергии в соответствии с п. 7.9. настоящего Договора.</w:t>
      </w:r>
    </w:p>
    <w:p>
      <w:pPr>
        <w:pStyle w:val="Normal"/>
        <w:ind w:right="0" w:firstLine="708"/>
        <w:jc w:val="both"/>
        <w:rPr>
          <w:highlight w:val="none"/>
        </w:rPr>
      </w:pPr>
      <w:r>
        <w:rPr>
          <w:shd w:val="clear" w:fill="auto"/>
        </w:rPr>
        <w:t xml:space="preserve">6.2.</w:t>
        <w:tab/>
      </w:r>
      <w:r>
        <w:rPr>
          <w:sz w:val="20"/>
          <w:szCs w:val="20"/>
          <w:shd w:val="clear" w:fill="auto"/>
        </w:rPr>
        <w:t xml:space="preserve">Увеличение Потребителем </w:t>
      </w:r>
      <w:r>
        <w:rPr>
          <w:rFonts w:eastAsia="Times New Roman" w:cs="Times New Roman"/>
          <w:color w:val="000000"/>
          <w:sz w:val="20"/>
          <w:szCs w:val="20"/>
          <w:shd w:val="clear" w:fill="auto"/>
        </w:rPr>
        <w:t xml:space="preserve"> договорной нагрузки  сверх присоединенной мощности объекта теплопотребления</w:t>
      </w:r>
      <w:r>
        <w:rPr>
          <w:rFonts w:eastAsia="Times New Roman" w:cs="Times New Roman"/>
          <w:color w:val="000000"/>
          <w:sz w:val="24"/>
          <w:shd w:val="clear" w:fill="auto"/>
        </w:rPr>
        <w:t xml:space="preserve">, </w:t>
      </w:r>
      <w:r>
        <w:rPr>
          <w:rFonts w:eastAsia="Times New Roman" w:cs="Times New Roman"/>
          <w:color w:val="000000"/>
          <w:sz w:val="20"/>
          <w:szCs w:val="20"/>
          <w:shd w:val="clear" w:fill="auto"/>
        </w:rPr>
        <w:t xml:space="preserve">определяемой как суммарная проектная максимальная тепловая нагрузка всех систем теплопотребления объекта теплопотребления, присоединенных к тепловым сетям (источнику тепловой энергии)  теплоснабжающей организации, осуществляется в порядке, предусмотренном </w:t>
      </w:r>
      <w:hyperlink r:id="rId10" w:tgtFrame="https://login.consultant.ru/link/?req=doc&amp;base=LAW&amp;n=353498&amp;dst=100074&amp;field=134&amp;date=03.09.2025">
        <w:r>
          <w:rPr>
            <w:rStyle w:val="Hyperlink"/>
            <w:rFonts w:eastAsia="Times New Roman" w:cs="Times New Roman"/>
            <w:color w:val="000000" w:themeColor="text1"/>
            <w:sz w:val="20"/>
            <w:szCs w:val="20"/>
            <w:u w:val="none"/>
            <w:shd w:val="clear" w:fill="auto"/>
          </w:rPr>
          <w:t xml:space="preserve">Правилами</w:t>
        </w:r>
      </w:hyperlink>
      <w:r>
        <w:rPr>
          <w:rFonts w:eastAsia="Times New Roman" w:cs="Times New Roman"/>
          <w:color w:val="000000" w:themeColor="text1"/>
          <w:sz w:val="20"/>
          <w:szCs w:val="20"/>
          <w:shd w:val="clear" w:fill="auto"/>
        </w:rPr>
        <w:t xml:space="preserve"> </w:t>
      </w:r>
      <w:r>
        <w:rPr>
          <w:rFonts w:eastAsia="Times New Roman" w:cs="Times New Roman"/>
          <w:color w:val="000000"/>
          <w:sz w:val="20"/>
          <w:szCs w:val="20"/>
          <w:shd w:val="clear" w:fill="auto"/>
        </w:rPr>
        <w:t xml:space="preserve">подключения объекта капитального строительства к сетям инженерно-технического обеспечения, утвержденными Постановлением Правительства РФ</w:t>
      </w:r>
    </w:p>
    <w:p>
      <w:pPr>
        <w:pStyle w:val="Normal"/>
        <w:ind w:right="0" w:firstLine="708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6.3.</w:t>
        <w:tab/>
        <w:t xml:space="preserve">Уменьшение  договорных нагрузок производится в соответствии с действующим законодательством Российской Федерации на основании Акта об отключении нагрузки, оформляемого Теплоснабжающей организацией, внесения изменений в проект теплоснабжения, согласованного с Теплоснабжающей организацией, и последующего (в случае необходимости) внесения соответствующих изменений в настоящий Договор.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6.4.</w:t>
        <w:tab/>
        <w:t xml:space="preserve">Сведения об уполномоченных должностных лицах сторон, ответственных за выполнение условий договора. 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Ответственные должностные лица за выполнение условий настоящего Договора и решения оперативных вопросов, в том числе связанных с подачей и прекращением подачи тепловой энергии и теплоносителя: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- со стороны Теплоснабжающей организации - </w:t>
      </w:r>
      <w:r>
        <w:rPr>
          <w:i/>
          <w:shd w:val="clear" w:fill="auto"/>
        </w:rPr>
        <w:t xml:space="preserve">ФИО, должность, контактный телефон</w:t>
      </w:r>
      <w:r>
        <w:rPr>
          <w:shd w:val="clear" w:fill="auto"/>
        </w:rPr>
        <w:t xml:space="preserve">;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- со стороны Потребителя -  </w:t>
      </w:r>
      <w:r>
        <w:rPr>
          <w:i/>
          <w:shd w:val="clear" w:fill="auto"/>
        </w:rPr>
        <w:t xml:space="preserve">ФИО, должность, контактный телефон</w:t>
      </w:r>
      <w:r>
        <w:rPr>
          <w:shd w:val="clear" w:fill="auto"/>
        </w:rPr>
        <w:t xml:space="preserve">.</w:t>
      </w:r>
    </w:p>
    <w:p>
      <w:pPr>
        <w:pStyle w:val="Normal"/>
        <w:ind w:right="0" w:firstLine="567"/>
        <w:jc w:val="both"/>
        <w:rPr>
          <w:color w:val="ff0000"/>
          <w:highlight w:val="none"/>
          <w:shd w:val="clear" w:fill="auto"/>
        </w:rPr>
      </w:pPr>
      <w:r>
        <w:rPr>
          <w:color w:val="ff0000"/>
          <w:shd w:val="clear" w:fill="auto"/>
        </w:rPr>
      </w:r>
    </w:p>
    <w:p>
      <w:pPr>
        <w:pStyle w:val="Normal"/>
        <w:ind w:right="0" w:firstLine="567"/>
        <w:jc w:val="center"/>
        <w:rPr>
          <w:highlight w:val="none"/>
          <w:shd w:val="clear" w:fill="auto"/>
        </w:rPr>
      </w:pPr>
      <w:r>
        <w:rPr>
          <w:shd w:val="clear" w:fill="auto"/>
        </w:rPr>
        <w:t xml:space="preserve">7. ОТВЕТСТВЕННОСТЬ СТОРОН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7.1. Стороны несут ответственность  за несоблюдение требований к параметрам качества теплоснабжения, нарушение режима потребления тепловой энергии и (или) теплоносителя, в том числе ответственность за нарушение условий о количестве, качестве и значениях термодинамических параметров возвращаемого теплоносителя,  в порядке и размере, предусмотренных  законодательством Российской Федерации и настоящим договором. 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7.2. В случае перерывов  теплоснабжения  Потребителя по вине Теплоснабжающей организации, а  также подачи Потребителю тепловой энергии пониженного качества, зафиксированного метрологическими аттестованными приборами, включенными в Государственный реестр средств измерений и при наличии подписанного  уполномоченными представителя сторонами акта, Теплоснабжающая организация  возмещает Потребителю причиненный этим реальный ущерб. 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Теплоснабжающая организация не несет  ответственность  перед Потребителем  за отпуск  тепловой энергии и теплоноситель  с пониженными  параметрами  теплоносителя  за те сутки, в течение  которых  Потребитель допускал  превышение  величины  потребления  или не соблюдал  установленных  для него режимов потребления.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7.3. В случаях неисполнения или ненадлежащего исполнения обязательств по настоящему Договору Сторона, нарушившая обязательство, обязана возместить причиненный этим реальный ущерб (ст. 547 ГК РФ).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7.4.</w:t>
        <w:tab/>
        <w:t xml:space="preserve">Теплоснабжающая организация несет ответственность за обеспечение надежности теплоснабжения Потребителя в соответствии с требованиями технических регламентов, иными обязательными требованиями по обеспечению надежности теплоснабжения, установленными законодательством, нормативными актами, настоящим Договором.</w:t>
      </w:r>
    </w:p>
    <w:p>
      <w:pPr>
        <w:pStyle w:val="Normal"/>
        <w:ind w:right="0" w:firstLine="360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   </w:t>
      </w:r>
      <w:r>
        <w:rPr>
          <w:shd w:val="clear" w:fill="auto"/>
        </w:rPr>
        <w:t xml:space="preserve">7.5.</w:t>
        <w:tab/>
        <w:t xml:space="preserve">Теплоснабжающая организация не несет материальной ответственности перед Потребителем за</w:t>
      </w:r>
      <w:r>
        <w:rPr>
          <w:color w:val="ff0000"/>
          <w:shd w:val="clear" w:fill="auto"/>
        </w:rPr>
        <w:t xml:space="preserve"> </w:t>
      </w:r>
      <w:r>
        <w:rPr>
          <w:shd w:val="clear" w:fill="auto"/>
        </w:rPr>
        <w:t xml:space="preserve">недоотпуск тепловой энергии или отпуск ее с пониженным качеством, вызванные следующим:</w:t>
      </w:r>
    </w:p>
    <w:p>
      <w:pPr>
        <w:pStyle w:val="Style24"/>
        <w:numPr>
          <w:numId w:val="2"/>
          <w:ilvl w:val="0"/>
        </w:numPr>
        <w:tabs>
          <w:tab w:val="clear" w:pos="708"/>
          <w:tab w:val="left" w:pos="993" w:leader="none"/>
        </w:tabs>
        <w:ind w:left="0" w:right="0" w:firstLine="709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 </w:t>
      </w:r>
      <w:r>
        <w:rPr>
          <w:shd w:val="clear" w:fill="auto"/>
        </w:rPr>
        <w:t xml:space="preserve">ограничением или прекращением подачи тепловой энергии и теплоносителя, осуществленным по предписанию органа государственного энергетического надзора;</w:t>
      </w:r>
    </w:p>
    <w:p>
      <w:pPr>
        <w:pStyle w:val="Style24"/>
        <w:numPr>
          <w:numId w:val="2"/>
          <w:ilvl w:val="0"/>
        </w:numPr>
        <w:tabs>
          <w:tab w:val="clear" w:pos="708"/>
          <w:tab w:val="left" w:pos="993" w:leader="none"/>
        </w:tabs>
        <w:ind w:left="0" w:right="0" w:firstLine="709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 </w:t>
      </w:r>
      <w:r>
        <w:rPr>
          <w:shd w:val="clear" w:fill="auto"/>
        </w:rPr>
        <w:t xml:space="preserve">длительным похолоданием, при котором температура наружного воздуха держится более 72 часов ниже на 10 0С и более от расчетной температуры для данной местности (температура, соответствующая климатической норме, установленной для региона);</w:t>
      </w:r>
    </w:p>
    <w:p>
      <w:pPr>
        <w:pStyle w:val="Style24"/>
        <w:numPr>
          <w:numId w:val="2"/>
          <w:ilvl w:val="0"/>
        </w:numPr>
        <w:tabs>
          <w:tab w:val="clear" w:pos="708"/>
          <w:tab w:val="left" w:pos="993" w:leader="none"/>
        </w:tabs>
        <w:ind w:left="0" w:right="0" w:firstLine="709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ограничениями или отключениями в соответствии с пп. 2.3.4, 2.3.5 настоящего Договора;</w:t>
      </w:r>
    </w:p>
    <w:p>
      <w:pPr>
        <w:pStyle w:val="Style24"/>
        <w:numPr>
          <w:numId w:val="2"/>
          <w:ilvl w:val="0"/>
        </w:numPr>
        <w:tabs>
          <w:tab w:val="clear" w:pos="708"/>
          <w:tab w:val="left" w:pos="993" w:leader="none"/>
        </w:tabs>
        <w:ind w:left="0" w:right="0" w:firstLine="709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неправильными действиями персонала Потребителя; </w:t>
      </w:r>
    </w:p>
    <w:p>
      <w:pPr>
        <w:pStyle w:val="Style24"/>
        <w:numPr>
          <w:numId w:val="2"/>
          <w:ilvl w:val="0"/>
        </w:numPr>
        <w:tabs>
          <w:tab w:val="clear" w:pos="708"/>
          <w:tab w:val="left" w:pos="993" w:leader="none"/>
        </w:tabs>
        <w:ind w:left="0" w:right="0" w:firstLine="709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повреждением оборудования Потребителя, приведшим к автоматическому отключению насосных подстанций и другого оборудования на питающих теплопроводах.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7.6. </w:t>
        <w:tab/>
        <w:t xml:space="preserve">Потребитель несет ответственность: 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- за неисполнение или ненадлежащее исполнение обязательств по оплате тепловой энергии  и  (или) теплоносителя, в том числе обязательств по их предварительной оплате, если такое условие предусмотрено договором; 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- </w:t>
        <w:tab/>
        <w:t xml:space="preserve">за сохранность и исправность установленных  приборов учета тепловой энергии;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- </w:t>
        <w:tab/>
        <w:t xml:space="preserve">за техническое состояние и эксплуатацию находящихся в его ведении систем теплопотребления, неэкономное расходование тепловой энергии;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- за сверхнормативную утечку теплоносителя на своих сетях и сетях подключенных субабонентов.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7.7.</w:t>
        <w:tab/>
        <w:t xml:space="preserve">Потребитель за неисполнение или ненадлежащее исполнение обязательств по оплате тепловой энергии и  (или) теплоносителя</w:t>
      </w:r>
      <w:r>
        <w:rPr>
          <w:i/>
          <w:shd w:val="clear" w:fill="auto"/>
        </w:rPr>
        <w:t xml:space="preserve">,</w:t>
      </w:r>
      <w:r>
        <w:rPr>
          <w:shd w:val="clear" w:fill="auto"/>
        </w:rPr>
        <w:t xml:space="preserve"> обязан уплатить Теплоснабжающей организации пени в размере, определенном действующим законодательством.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i/>
          <w:shd w:val="clear" w:fill="auto"/>
        </w:rPr>
        <w:t xml:space="preserve">7.8.</w:t>
        <w:tab/>
        <w:t xml:space="preserve">При непредставлении Потребителем: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i/>
          <w:shd w:val="clear" w:fill="auto"/>
        </w:rPr>
        <w:t xml:space="preserve">Вариант  1 - до 2 (Второго) числа месяца, следующего за расчетным;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i/>
          <w:shd w:val="clear" w:fill="auto"/>
        </w:rPr>
        <w:t xml:space="preserve">Вариант  2 - до 25 (Двадцать пятого) числа расчетного месяца,</w:t>
      </w:r>
    </w:p>
    <w:p>
      <w:pPr>
        <w:pStyle w:val="Normal"/>
        <w:jc w:val="both"/>
        <w:rPr>
          <w:highlight w:val="none"/>
          <w:shd w:val="clear" w:fill="auto"/>
        </w:rPr>
      </w:pPr>
      <w:r>
        <w:rPr>
          <w:i/>
          <w:shd w:val="clear" w:fill="auto"/>
        </w:rPr>
        <w:t xml:space="preserve">показаний приборов учета, расчет за принятую тепловую энергию и теплоноситель производится в соответствии с п.3.8 настоящего Договора.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7.9.</w:t>
        <w:tab/>
        <w:t xml:space="preserve">При неоплате Потребителем тепловой энергии и теплоносителя в установленные настоящим Договором сроки (п. 5.3.) за расчетный период, Теплоснабжающая организация предупреждает Потребителя, что в случае неоплаты задолженности до истечения следующего расчетного периода, ему может быть ограничена подача тепловой энергии и теплоносителя.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7.10. При задержке платежей сверх установленного в предупреждении срока Теплоснабжающая организация вправе ввести ограничение подачи тепловой энергии и теплоносителя до уровня, определяемого Теплоснабжающей организацией. При введении указанного ограничения Теплоснабжающая организация извещает об этом Потребителя не менее чем за 1 (Одни) сутки до введения ограничения.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Ограничение подачи тепловой энергии и теплоносителя  производится Потребителем самостоятельно путем отключения собственных  теплопотребляющих установок и (или) теплопотребляющих установок субабонентов (при их наличии). При этом Теплоснабжающая организация имеет право производить опломбирование отключенных в сетях Потребителя (субабонентов - при их наличии) теплопотребляющих установок с составлением соответствующего акта. </w:t>
      </w:r>
    </w:p>
    <w:p>
      <w:pPr>
        <w:pStyle w:val="Normal"/>
        <w:spacing w:before="0" w:after="0" w:line="240" w:lineRule="auto"/>
        <w:ind w:left="0" w:right="0" w:firstLine="540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При невыполнении Потребителем распоряжений Теплоснабжающей организации о введении ограничений или срыве пломб Теплоснабжающей организации и самовольном подключении ранее отключенного теплопотребляющего оборудования, Теплоснабжающая организация вправе произвести ограничение Потребителя</w:t>
      </w:r>
      <w:r>
        <w:rPr>
          <w:sz w:val="20"/>
          <w:szCs w:val="20"/>
          <w:shd w:val="clear" w:fill="auto"/>
        </w:rPr>
        <w:t xml:space="preserve"> </w:t>
      </w:r>
      <w:r>
        <w:rPr>
          <w:rFonts w:eastAsia="Times New Roman" w:cs="Times New Roman"/>
          <w:color w:val="000000"/>
          <w:sz w:val="20"/>
          <w:szCs w:val="20"/>
          <w:shd w:val="clear" w:fill="auto"/>
        </w:rPr>
        <w:t xml:space="preserve">путем осуществления переключений на  собственных тепловых сетях. 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 </w:t>
      </w:r>
      <w:r>
        <w:rPr>
          <w:shd w:val="clear" w:fill="auto"/>
        </w:rPr>
        <w:t xml:space="preserve">7.11. Потребитель несет ответственность за невыполнение действий по самостоятельному  ограничению режима потребления  путем отключения собственных теплопотребляющих установок, а также за отказ от допуска представителей Теплоснабжающей организации для осуществления действий по ограничению режима потребления (в том числе за убытки, возникшие вследствие такого отказа у потребителей, надлежащим образом исполняющих свои обязательства перед Теплоснабжающей организацией).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7.12. Если по истечении 5 (Пяти) рабочих дней со дня введения ограничения подачи теплоэнергии и теплоносителя Потребителем не будет погашена имеющаяся задолженность, то Теплоснабжающая организация вправе прекратить полностью подачу тепловой энергии и теплоносителя до полного погашения задолженности.</w:t>
      </w:r>
    </w:p>
    <w:p>
      <w:pPr>
        <w:pStyle w:val="Normal"/>
        <w:spacing w:before="0" w:after="0" w:line="240" w:lineRule="auto"/>
        <w:ind w:left="0" w:right="0" w:firstLine="540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7.13.   Теплоснабжающая организация обязана не менее чем за 1 (Одни) сутки сообщить Потребителю день и час прекращения подачи тепловой энергии и теплоносителя. В указанный срок Потребитель обязан погасить имеющуюся задолженность или принять меры к безаварийному прекращению технологического процесса, обеспечению безопасности людей и сохранности оборудования в связи с прекращением подачи тепловой энергии и теплоносителя.</w:t>
      </w:r>
    </w:p>
    <w:p>
      <w:pPr>
        <w:pStyle w:val="Normal"/>
        <w:spacing w:before="0" w:after="0" w:line="240" w:lineRule="auto"/>
        <w:ind w:left="0" w:right="0" w:firstLine="540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7.14. </w:t>
      </w:r>
      <w:r>
        <w:rPr>
          <w:rFonts w:eastAsia="Times New Roman" w:cs="Times New Roman"/>
          <w:color w:val="000000"/>
          <w:sz w:val="20"/>
          <w:szCs w:val="20"/>
          <w:shd w:val="clear" w:fill="auto"/>
        </w:rPr>
        <w:t xml:space="preserve">В отношении социально значимых категорий потребителей применяется специальный порядок введения ограничения режима потребления</w:t>
      </w:r>
      <w:r>
        <w:rPr>
          <w:rFonts w:eastAsia="Times New Roman" w:cs="Times New Roman"/>
          <w:color w:val="000000"/>
          <w:sz w:val="24"/>
          <w:shd w:val="clear" w:fill="auto"/>
        </w:rPr>
        <w:t xml:space="preserve">,</w:t>
      </w:r>
      <w:r>
        <w:rPr>
          <w:rFonts w:eastAsia="Times New Roman" w:cs="Times New Roman"/>
          <w:color w:val="000000"/>
          <w:sz w:val="20"/>
          <w:szCs w:val="20"/>
          <w:shd w:val="clear" w:fill="auto"/>
        </w:rPr>
        <w:t xml:space="preserve"> в соответствии с Правилами организации теплоснабжения в Российской Федерации.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7.15.Теплоснабжающая организация вправе потребовать в установленном законодательством РФ порядке компенсации Потребителем затрат, понесенных ею в связи с введением  ограничения режима потребления и в связи с восстановлением режима потребления.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7.16.</w:t>
        <w:tab/>
        <w:t xml:space="preserve">Подача тепловой энергии и теплоносителя после прекращения или ограничения возобновляется после уплаты задолженности перед Теплоснабжающей организацией, включающей расходы на восстановление подачи тепловой энергии и теплоносителя.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7.17.</w:t>
        <w:tab/>
        <w:t xml:space="preserve">Применение санкций и возмещение убытков, предусмотренных условиями настоящего Договора, не освобождает Стороны от исполнения обязательств по настоящему Договору.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7.18.</w:t>
        <w:tab/>
        <w:t xml:space="preserve">Стороны освобождаются от ответственности за неисполнение или ненадлежащее исполнение обязательств по настоящему Договору, если это явилось следствием обстоятельств непреодолимой силы, возникших после заключения Договора, как-то: стихийные бедствия, забастовка, военные действия любого характера, правительственные постановления или распоряжения государственных органов, препятствующие выполнению условий настоящего Договора. Сторона, ссылающаяся на обстоятельства непреодолимой силы, обязана незамедлительно информировать другую Сторону о наступлении подобных обстоятельств в письменной форме. По требованию одной из Сторон в этом случае может быть создана комиссия, определяющая возможность дальнейшего исполнения взаимных обязательств.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7.19.</w:t>
        <w:tab/>
        <w:t xml:space="preserve">Потребитель несет ответственность за срыв пломб установленных Теплоснабжающей организацией, и/или самовольное подключение  </w:t>
      </w:r>
      <w:r>
        <w:rPr>
          <w:i/>
          <w:iCs/>
          <w:shd w:val="clear" w:fill="auto"/>
        </w:rPr>
        <w:t xml:space="preserve">в размере ______ за __</w:t>
      </w:r>
      <w:r>
        <w:rPr>
          <w:shd w:val="clear" w:fill="auto"/>
        </w:rPr>
        <w:t xml:space="preserve">,  а так же  возмещает Теплоснабжающей организации понесенные ею убытки и расходы. 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При обнаружении факта срыва пломб и/или самовольного подключения Потребителя Сторонами настоящего Договора составляется Акт по факту срыва пломб и самовольного подключения (далее по тексту - Акт). Теплоснабжающая организация уведомляет Потребителя  о необходимости оформления данного Акта. 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В случае неявки уполномоченного представителя Потребителя в указанное в уведомлении время, а также отказа Потребителя от подписи в Акте, факт срыва пломб Теплоснабжающей организации и/или самовольное подключение считается установленным на основании Акта, подписанного представителем Теплоснабжающей организации.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Расчет объемов и стоимости потребленной тепловой энергии и теплоносителя производится в соответствии с п. 2.3.5. настоящего Договора. 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i/>
          <w:shd w:val="clear" w:fill="auto"/>
        </w:rPr>
        <w:t xml:space="preserve">7.20. При превышении Потребителем среднесуточной температуры обратной сетевой воды более чем на 5 % против графика, Теплоснабжающая организация вправе произвести перерасчет потребления тепловой энергии Потребителем по температурному перепаду согласно Температурному графику работы теплосети (Приложение № 4) по действующему тарифу.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i/>
          <w:shd w:val="clear" w:fill="auto"/>
        </w:rPr>
        <w:t xml:space="preserve">7.21. В случае отказа в доступе  к приборам учета и теплопотребляющим установкам Потребителя,  при отсутствии приборов учета тепловой энергии свыше 15 (Пятнадцати) суток, а так же  </w:t>
      </w:r>
      <w:r>
        <w:rPr>
          <w:rFonts w:cs="Times New Roman"/>
          <w:i/>
          <w:szCs w:val="24"/>
          <w:shd w:val="clear" w:fill="auto"/>
        </w:rPr>
        <w:t xml:space="preserve">при нарушении режима потребления тепловой энергии и (или) теплоносителя, в том числе условий о количестве, качестве и значениях термодинамических параметров возвращаемого теплоносителя, превышении фактического объема потребления тепловой энергии и (или) теплоносителя над договорным объемом потребления, определенном исходя из договорной нагрузки, указанной в Приложении 1, Потребитель обязан оплатить Теплоснабжающей организации объем сверхдоговорного потребления и Потребления с нарушением режима потребления с применением к тарифам в сфере теплоснабжения повышающих коэффициентов, установленных органом исполнительной власти субъекта Российской Федерации в области государственного регулирования тарифо</w:t>
      </w:r>
      <w:r>
        <w:rPr>
          <w:i/>
          <w:shd w:val="clear" w:fill="auto"/>
        </w:rPr>
        <w:t xml:space="preserve">в</w:t>
      </w:r>
      <w:r>
        <w:rPr>
          <w:shd w:val="clear" w:fill="auto"/>
        </w:rPr>
        <w:t xml:space="preserve">.</w:t>
      </w:r>
    </w:p>
    <w:p>
      <w:pPr>
        <w:pStyle w:val="Normal"/>
        <w:ind w:right="0" w:firstLine="567"/>
        <w:jc w:val="both"/>
        <w:rPr>
          <w:bCs/>
          <w:i/>
          <w:highlight w:val="none"/>
          <w:shd w:val="clear" w:fill="auto"/>
        </w:rPr>
      </w:pPr>
      <w:r>
        <w:rPr>
          <w:bCs/>
          <w:i/>
          <w:shd w:val="clear" w:fill="auto"/>
        </w:rPr>
      </w:r>
    </w:p>
    <w:p>
      <w:pPr>
        <w:pStyle w:val="Normal"/>
        <w:ind w:right="0" w:firstLine="567"/>
        <w:jc w:val="center"/>
        <w:rPr>
          <w:highlight w:val="none"/>
          <w:shd w:val="clear" w:fill="auto"/>
        </w:rPr>
      </w:pPr>
      <w:r>
        <w:rPr>
          <w:shd w:val="clear" w:fill="auto"/>
        </w:rPr>
        <w:t xml:space="preserve">8. ПОРЯДОК РАЗРЕШЕНИЯ СПОРОВ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8.1. В случае возникновения споров и разногласий между Сторонами настоящего Договора в связи с действительностью, исполнением, изменением или прекращением настоящего Договора, Стороны предпримут все меры для их разрешения путем переговоров. 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В случае невозможности разрешения спора путем переговоров, споры между Сторонами разрешаются в претензионном порядке. Письмо, содержащее претензионные требования, должно иметь наименование «Претензия» и быть подписано уполномоченным представителем Стороны. Срок ответа на претензию 10 (десять</w:t>
      </w:r>
      <w:r>
        <w:rPr>
          <w:i/>
          <w:shd w:val="clear" w:fill="auto"/>
        </w:rPr>
        <w:t xml:space="preserve">)</w:t>
      </w:r>
      <w:r>
        <w:rPr>
          <w:shd w:val="clear" w:fill="auto"/>
        </w:rPr>
        <w:t xml:space="preserve"> дней. 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8.2</w:t>
      </w:r>
      <w:r>
        <w:rPr>
          <w:i/>
          <w:shd w:val="clear" w:fill="auto"/>
        </w:rPr>
        <w:t xml:space="preserve">.</w:t>
      </w:r>
      <w:r>
        <w:rPr>
          <w:i w:val="0"/>
          <w:iCs w:val="0"/>
          <w:shd w:val="clear" w:fill="auto"/>
        </w:rPr>
        <w:t xml:space="preserve"> 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</w:t>
      </w:r>
      <w:r>
        <w:rPr>
          <w:i/>
          <w:shd w:val="clear" w:fill="auto"/>
        </w:rPr>
        <w:t xml:space="preserve"> _______________. </w:t>
      </w:r>
      <w:r>
        <w:rPr>
          <w:i w:val="0"/>
          <w:iCs w:val="0"/>
          <w:szCs w:val="28"/>
          <w:shd w:val="clear" w:fill="auto"/>
        </w:rPr>
        <w:t xml:space="preserve">Иски к Потребителю могут быть предъявлены Теплоснабжающей организацией по своему усмотрению: по месту нахождения Потребителя, в Арбитражный суд того субъекта Российской Федерации, где осуществлялось исполнение договора, либо в Арбитражный суд _________________________. </w:t>
      </w:r>
    </w:p>
    <w:p>
      <w:pPr>
        <w:pStyle w:val="Normal"/>
        <w:ind w:right="0" w:firstLine="0"/>
        <w:jc w:val="both"/>
        <w:rPr>
          <w:bCs w:val="0"/>
          <w:i w:val="0"/>
          <w:highlight w:val="none"/>
          <w:shd w:val="clear" w:fill="auto"/>
        </w:rPr>
      </w:pPr>
      <w:r>
        <w:rPr>
          <w:bCs w:val="0"/>
          <w:i w:val="0"/>
          <w:shd w:val="clear" w:fill="auto"/>
        </w:rPr>
      </w:r>
    </w:p>
    <w:p>
      <w:pPr>
        <w:pStyle w:val="Normal"/>
        <w:ind w:right="0" w:firstLine="567"/>
        <w:jc w:val="center"/>
        <w:rPr>
          <w:highlight w:val="none"/>
          <w:shd w:val="clear" w:fill="auto"/>
        </w:rPr>
      </w:pPr>
      <w:r>
        <w:rPr>
          <w:i w:val="0"/>
          <w:iCs w:val="0"/>
          <w:shd w:val="clear" w:fill="auto"/>
        </w:rPr>
        <w:t xml:space="preserve">9. </w:t>
      </w:r>
      <w:r>
        <w:rPr>
          <w:shd w:val="clear" w:fill="auto"/>
        </w:rPr>
        <w:t xml:space="preserve">УСЛОВИЯ АНТИКОРРУПЦИОННОЙ ОГОВОРКИ </w:t>
      </w:r>
    </w:p>
    <w:p>
      <w:pPr>
        <w:pStyle w:val="21"/>
        <w:ind w:left="0" w:right="0" w:firstLine="567"/>
        <w:rPr>
          <w:highlight w:val="none"/>
          <w:shd w:val="clear" w:fill="auto"/>
        </w:rPr>
      </w:pPr>
      <w:r>
        <w:rPr>
          <w:i w:val="0"/>
          <w:iCs w:val="0"/>
          <w:color w:val="000000" w:themeColor="text1"/>
          <w:sz w:val="20"/>
          <w:szCs w:val="20"/>
          <w:shd w:val="clear" w:fill="auto"/>
        </w:rPr>
        <w:t xml:space="preserve">9.1. При исполнении своих обязательств по настоящему Договору Стороны руководствуются действующим антикоррупционным законодательством РФ, включая, но не ограничиваясь следующими документами:</w:t>
      </w:r>
    </w:p>
    <w:p>
      <w:pPr>
        <w:pStyle w:val="Normal"/>
        <w:spacing w:before="0" w:after="0" w:line="240" w:lineRule="auto"/>
        <w:ind w:left="0" w:right="0" w:firstLine="851"/>
        <w:jc w:val="both"/>
        <w:rPr>
          <w:highlight w:val="none"/>
        </w:rPr>
      </w:pPr>
      <w:r>
        <w:rPr>
          <w:rFonts w:cs="Times New Roman"/>
          <w:i w:val="0"/>
          <w:iCs w:val="0"/>
          <w:sz w:val="20"/>
          <w:szCs w:val="20"/>
          <w:shd w:val="clear" w:fill="auto"/>
        </w:rPr>
        <w:t xml:space="preserve">– </w:t>
      </w:r>
      <w:r>
        <w:rPr>
          <w:rFonts w:cs="Times New Roman"/>
          <w:i w:val="0"/>
          <w:iCs w:val="0"/>
          <w:sz w:val="20"/>
          <w:szCs w:val="20"/>
          <w:shd w:val="clear" w:fill="auto"/>
        </w:rPr>
        <w:t xml:space="preserve">Федеральным </w:t>
      </w:r>
      <w:hyperlink r:id="rId11" w:tgtFrame="https://login.consultant.ru/link/?req=doc&amp;base=LAW&amp;n=194066">
        <w:r>
          <w:rPr>
            <w:rStyle w:val="ListLabel21"/>
            <w:rFonts w:cs="Times New Roman"/>
            <w:i w:val="0"/>
            <w:iCs w:val="0"/>
            <w:sz w:val="20"/>
            <w:szCs w:val="20"/>
            <w:shd w:val="clear" w:fill="auto"/>
          </w:rPr>
          <w:t xml:space="preserve">законом</w:t>
        </w:r>
      </w:hyperlink>
      <w:r>
        <w:rPr>
          <w:rFonts w:cs="Times New Roman"/>
          <w:i w:val="0"/>
          <w:iCs w:val="0"/>
          <w:sz w:val="20"/>
          <w:szCs w:val="20"/>
          <w:shd w:val="clear" w:fill="auto"/>
        </w:rPr>
        <w:t xml:space="preserve"> от 25.12.2008 № 273-ФЗ «О противодействии коррупции»;</w:t>
      </w:r>
    </w:p>
    <w:p>
      <w:pPr>
        <w:pStyle w:val="Normal"/>
        <w:spacing w:before="0" w:after="0" w:line="240" w:lineRule="auto"/>
        <w:ind w:left="0" w:right="0" w:firstLine="851"/>
        <w:jc w:val="both"/>
        <w:rPr>
          <w:highlight w:val="none"/>
        </w:rPr>
      </w:pPr>
      <w:r>
        <w:rPr>
          <w:rFonts w:cs="Times New Roman"/>
          <w:i w:val="0"/>
          <w:iCs w:val="0"/>
          <w:sz w:val="20"/>
          <w:szCs w:val="20"/>
          <w:shd w:val="clear" w:fill="auto"/>
        </w:rPr>
        <w:t xml:space="preserve">– </w:t>
      </w:r>
      <w:r>
        <w:rPr>
          <w:rFonts w:cs="Times New Roman"/>
          <w:i w:val="0"/>
          <w:iCs w:val="0"/>
          <w:sz w:val="20"/>
          <w:szCs w:val="20"/>
          <w:shd w:val="clear" w:fill="auto"/>
        </w:rPr>
        <w:t xml:space="preserve">Методическими </w:t>
      </w:r>
      <w:hyperlink r:id="rId12" w:tgtFrame="https://login.consultant.ru/link/?req=doc&amp;base=LAW&amp;n=154292">
        <w:r>
          <w:rPr>
            <w:rStyle w:val="ListLabel21"/>
            <w:rFonts w:cs="Times New Roman"/>
            <w:i w:val="0"/>
            <w:iCs w:val="0"/>
            <w:sz w:val="20"/>
            <w:szCs w:val="20"/>
            <w:shd w:val="clear" w:fill="auto"/>
          </w:rPr>
          <w:t xml:space="preserve">рекомендациями</w:t>
        </w:r>
      </w:hyperlink>
      <w:r>
        <w:rPr>
          <w:rFonts w:cs="Times New Roman"/>
          <w:i w:val="0"/>
          <w:iCs w:val="0"/>
          <w:sz w:val="20"/>
          <w:szCs w:val="20"/>
          <w:shd w:val="clear" w:fill="auto"/>
        </w:rPr>
        <w:t xml:space="preserve"> по разработке и принятию организациями мер по предупреждению и противодействию коррупции, утвержденными Министерством труда и социальной защиты Российской Федерации 08.11.2013;</w:t>
      </w:r>
    </w:p>
    <w:p>
      <w:pPr>
        <w:pStyle w:val="Normal"/>
        <w:spacing w:before="0" w:after="0" w:line="240" w:lineRule="auto"/>
        <w:ind w:left="0" w:right="0" w:firstLine="567"/>
        <w:jc w:val="both"/>
        <w:rPr>
          <w:rFonts w:cs="Times New Roman"/>
          <w:bCs w:val="0"/>
          <w:i w:val="0"/>
          <w:sz w:val="20"/>
          <w:szCs w:val="20"/>
          <w:highlight w:val="none"/>
          <w:shd w:val="clear" w:fill="auto"/>
        </w:rPr>
      </w:pPr>
      <w:r>
        <w:rPr>
          <w:rFonts w:cs="Times New Roman"/>
          <w:i w:val="0"/>
          <w:iCs w:val="0"/>
          <w:sz w:val="20"/>
          <w:szCs w:val="20"/>
          <w:shd w:val="clear" w:fill="auto"/>
        </w:rPr>
        <w:t xml:space="preserve">      – </w:t>
      </w:r>
      <w:r>
        <w:rPr>
          <w:rFonts w:cs="Times New Roman"/>
          <w:i w:val="0"/>
          <w:iCs w:val="0"/>
          <w:sz w:val="20"/>
          <w:szCs w:val="20"/>
          <w:shd w:val="clear" w:fill="auto"/>
        </w:rPr>
        <w:t xml:space="preserve">иными законодательными и нормативно-правовыми актами, методическими документами Российской Федерации.</w:t>
      </w:r>
    </w:p>
    <w:p>
      <w:pPr>
        <w:pStyle w:val="Normal"/>
        <w:spacing w:before="0" w:after="0" w:line="240" w:lineRule="auto"/>
        <w:ind w:left="0" w:right="0" w:firstLine="567"/>
        <w:jc w:val="both"/>
        <w:rPr>
          <w:highlight w:val="none"/>
        </w:rPr>
      </w:pPr>
      <w:r>
        <w:rPr>
          <w:i w:val="0"/>
          <w:iCs w:val="0"/>
          <w:color w:val="000000" w:themeColor="text1"/>
          <w:sz w:val="20"/>
          <w:szCs w:val="20"/>
          <w:shd w:val="clear" w:fill="auto"/>
        </w:rPr>
        <w:t xml:space="preserve">9.2. При исполнении своих обязательств по Договору Стороны, их работники/представители обязуются не осуществлять действий, квалифицируемых применимым для целей настоящего Договора законодательством, как дача / получение взятки, посредничество во взяточничестве, коммерческий подкуп, посредничество в коммерческом подкупе, злоупотребление полномочиями, злоупотребление служебным положением, а также действий, нарушающих требования применимого законодательства о противодействии легализации (отмыванию) доходов, полученных преступным путем.</w:t>
      </w:r>
    </w:p>
    <w:p>
      <w:pPr>
        <w:pStyle w:val="Normal"/>
        <w:spacing w:before="0" w:after="0" w:line="240" w:lineRule="auto"/>
        <w:ind w:left="0" w:right="0" w:firstLine="567"/>
        <w:jc w:val="both"/>
        <w:rPr>
          <w:highlight w:val="none"/>
          <w:shd w:val="clear" w:fill="auto"/>
        </w:rPr>
      </w:pPr>
      <w:r>
        <w:rPr>
          <w:i w:val="0"/>
          <w:iCs w:val="0"/>
          <w:color w:val="000000" w:themeColor="text1"/>
          <w:sz w:val="20"/>
          <w:szCs w:val="20"/>
          <w:shd w:val="clear" w:fill="auto"/>
        </w:rPr>
        <w:t xml:space="preserve">9.3. Каждая из Сторон Договора отказывается от стимулирования каким-либо образом работников/представителей другой Стороны (ни напрямую, ни через посредников), в том числе путем предоставления денежных сумм и иных ценностей в любой форме, подарков, безвозмездного выполнения в их адрес работ (услуг), либо предоставления иной выгоды/ преимущества, направленных на обеспечение выполнения этим работником/представителем каких-либо действий в пользу стимулирующей его Стороны. </w:t>
      </w:r>
    </w:p>
    <w:p>
      <w:pPr>
        <w:pStyle w:val="Normal"/>
        <w:spacing w:before="0" w:after="0" w:line="240" w:lineRule="auto"/>
        <w:ind w:left="0" w:right="0" w:firstLine="567"/>
        <w:jc w:val="both"/>
        <w:rPr>
          <w:highlight w:val="none"/>
          <w:shd w:val="clear" w:fill="auto"/>
        </w:rPr>
      </w:pPr>
      <w:r>
        <w:rPr>
          <w:i w:val="0"/>
          <w:iCs w:val="0"/>
          <w:color w:val="000000" w:themeColor="text1"/>
          <w:sz w:val="20"/>
          <w:szCs w:val="20"/>
          <w:shd w:val="clear" w:fill="auto"/>
        </w:rPr>
        <w:t xml:space="preserve">9.4. </w:t>
      </w:r>
      <w:r>
        <w:rPr>
          <w:rFonts w:cs="Times New Roman"/>
          <w:i w:val="0"/>
          <w:iCs w:val="0"/>
          <w:color w:val="000000"/>
          <w:sz w:val="20"/>
          <w:szCs w:val="20"/>
          <w:shd w:val="clear" w:fill="auto"/>
        </w:rPr>
        <w:t xml:space="preserve">Под действиями, осуществляемыми в пользу стимулирующей его Стороны, понимаются:</w:t>
      </w:r>
    </w:p>
    <w:p>
      <w:pPr>
        <w:pStyle w:val="ListParagraph"/>
        <w:ind w:left="0" w:right="0" w:firstLine="851"/>
        <w:jc w:val="both"/>
        <w:rPr>
          <w:highlight w:val="none"/>
          <w:shd w:val="clear" w:fill="auto"/>
        </w:rPr>
      </w:pPr>
      <w:r>
        <w:rPr>
          <w:rFonts w:cs="Times New Roman"/>
          <w:i w:val="0"/>
          <w:iCs w:val="0"/>
          <w:color w:val="000000"/>
          <w:sz w:val="20"/>
          <w:szCs w:val="20"/>
          <w:shd w:val="clear" w:fill="auto"/>
        </w:rPr>
        <w:t xml:space="preserve">- предоставление неоправданных преимуществ по сравнению с другими контрагентами;</w:t>
      </w:r>
    </w:p>
    <w:p>
      <w:pPr>
        <w:pStyle w:val="ListParagraph"/>
        <w:ind w:left="0" w:right="0" w:firstLine="851"/>
        <w:jc w:val="both"/>
        <w:rPr>
          <w:highlight w:val="none"/>
          <w:shd w:val="clear" w:fill="auto"/>
        </w:rPr>
      </w:pPr>
      <w:r>
        <w:rPr>
          <w:rFonts w:cs="Times New Roman"/>
          <w:i w:val="0"/>
          <w:iCs w:val="0"/>
          <w:color w:val="000000"/>
          <w:sz w:val="20"/>
          <w:szCs w:val="20"/>
          <w:shd w:val="clear" w:fill="auto"/>
        </w:rPr>
        <w:t xml:space="preserve">- предоставление каких-либо непредусмотренных договорными отношениями гарантий;</w:t>
      </w:r>
    </w:p>
    <w:p>
      <w:pPr>
        <w:pStyle w:val="ListParagraph"/>
        <w:ind w:left="0" w:right="0" w:firstLine="851"/>
        <w:jc w:val="both"/>
        <w:rPr>
          <w:highlight w:val="none"/>
          <w:shd w:val="clear" w:fill="auto"/>
        </w:rPr>
      </w:pPr>
      <w:r>
        <w:rPr>
          <w:rFonts w:cs="Times New Roman"/>
          <w:i w:val="0"/>
          <w:iCs w:val="0"/>
          <w:color w:val="000000"/>
          <w:sz w:val="20"/>
          <w:szCs w:val="20"/>
          <w:shd w:val="clear" w:fill="auto"/>
        </w:rPr>
        <w:t xml:space="preserve">- неправомерное ускорение существующих процедур;</w:t>
      </w:r>
    </w:p>
    <w:p>
      <w:pPr>
        <w:pStyle w:val="ListParagraph"/>
        <w:ind w:left="0" w:right="0" w:firstLine="851"/>
        <w:jc w:val="both"/>
        <w:rPr>
          <w:highlight w:val="none"/>
          <w:shd w:val="clear" w:fill="auto"/>
        </w:rPr>
      </w:pPr>
      <w:r>
        <w:rPr>
          <w:rFonts w:cs="Times New Roman"/>
          <w:i w:val="0"/>
          <w:iCs w:val="0"/>
          <w:color w:val="000000"/>
          <w:sz w:val="20"/>
          <w:szCs w:val="20"/>
          <w:shd w:val="clear" w:fill="auto"/>
        </w:rPr>
        <w:t xml:space="preserve">- иные действия, выполняемые работником/представителем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>
      <w:pPr>
        <w:pStyle w:val="ListParagraph"/>
        <w:ind w:left="0" w:right="0" w:firstLine="567"/>
        <w:jc w:val="both"/>
        <w:rPr>
          <w:highlight w:val="none"/>
          <w:shd w:val="clear" w:fill="auto"/>
        </w:rPr>
      </w:pPr>
      <w:r>
        <w:rPr>
          <w:rFonts w:cs="Times New Roman"/>
          <w:i w:val="0"/>
          <w:iCs w:val="0"/>
          <w:color w:val="000000"/>
          <w:sz w:val="20"/>
          <w:szCs w:val="20"/>
          <w:shd w:val="clear" w:fill="auto"/>
        </w:rPr>
        <w:t xml:space="preserve">9.5.</w:t>
      </w:r>
      <w:r>
        <w:rPr>
          <w:i w:val="0"/>
          <w:iCs w:val="0"/>
          <w:color w:val="000000" w:themeColor="text1"/>
          <w:sz w:val="20"/>
          <w:szCs w:val="20"/>
          <w:shd w:val="clear" w:fill="auto"/>
        </w:rPr>
        <w:t xml:space="preserve">В случае возникновения у Стороны оснований полагать, что произошло или может произойти нарушение антикоррупционных условий, предусмотренных настоящим разделом Договора, Сторона обязуется незамедлительно уведомить об этом другую Сторону в письменной или электронной форме в соответствии с данными, указанными в разделе «Адреса и реквизиты Сторон». В таком уведомлении Сторона должна указать на факты или предоставить материалы, достоверно подтверждающие или дающие основания полагать, что Стороной, ее работниками/представителями совершено или может быть совершено нарушение, запрещенное настоящим разделом Договора.  </w:t>
      </w:r>
    </w:p>
    <w:p>
      <w:pPr>
        <w:pStyle w:val="21"/>
        <w:spacing w:before="0" w:after="0"/>
        <w:ind w:left="0" w:right="0" w:firstLine="567"/>
        <w:rPr>
          <w:highlight w:val="none"/>
          <w:shd w:val="clear" w:fill="auto"/>
        </w:rPr>
      </w:pPr>
      <w:r>
        <w:rPr>
          <w:i w:val="0"/>
          <w:iCs w:val="0"/>
          <w:color w:val="000000" w:themeColor="text1"/>
          <w:sz w:val="20"/>
          <w:szCs w:val="20"/>
          <w:shd w:val="clear" w:fill="auto"/>
        </w:rPr>
        <w:t xml:space="preserve">9.6 Стороны признают условия настоящего раздела существенными для целей настоящего Договора.</w:t>
      </w:r>
    </w:p>
    <w:p>
      <w:pPr>
        <w:pStyle w:val="21"/>
        <w:spacing w:before="0" w:after="0"/>
        <w:ind w:left="0" w:right="0" w:firstLine="567"/>
        <w:rPr>
          <w:highlight w:val="none"/>
          <w:shd w:val="clear" w:fill="auto"/>
        </w:rPr>
      </w:pPr>
      <w:r>
        <w:rPr>
          <w:i w:val="0"/>
          <w:iCs w:val="0"/>
          <w:color w:val="000000" w:themeColor="text1"/>
          <w:sz w:val="20"/>
          <w:szCs w:val="20"/>
          <w:shd w:val="clear" w:fill="auto"/>
        </w:rPr>
        <w:t xml:space="preserve">9.7.Стороны гарантируют полную конфиденциальность по вопросам исполнения антикоррупционных условий настоящего Договора, а также отсутствие неправомерных негативных последствий, как для обращающейся Стороны в целом, так и для конкретных работников/ представителей обращающейся Стороны, сообщивших о факте нарушений.</w:t>
      </w:r>
    </w:p>
    <w:p>
      <w:pPr>
        <w:pStyle w:val="21"/>
        <w:spacing w:before="0" w:after="0"/>
        <w:ind w:left="0" w:right="0" w:firstLine="567"/>
        <w:rPr>
          <w:highlight w:val="none"/>
          <w:shd w:val="clear" w:fill="auto"/>
        </w:rPr>
      </w:pPr>
      <w:r>
        <w:rPr>
          <w:i w:val="0"/>
          <w:iCs w:val="0"/>
          <w:color w:val="000000" w:themeColor="text1"/>
          <w:sz w:val="20"/>
          <w:szCs w:val="20"/>
          <w:shd w:val="clear" w:fill="auto"/>
        </w:rPr>
        <w:t xml:space="preserve">9.8. Стороны настоящего Договора признают необходимость и правомерность проведения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недобросовестными действиями своих работников/ представителей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>
      <w:pPr>
        <w:pStyle w:val="21"/>
        <w:spacing w:before="0" w:after="0"/>
        <w:ind w:left="0" w:right="0" w:firstLine="567"/>
        <w:jc w:val="both"/>
        <w:rPr>
          <w:highlight w:val="none"/>
          <w:shd w:val="clear" w:fill="auto"/>
        </w:rPr>
      </w:pPr>
      <w:r>
        <w:rPr>
          <w:i w:val="0"/>
          <w:iCs w:val="0"/>
          <w:color w:val="000000" w:themeColor="text1"/>
          <w:sz w:val="20"/>
          <w:szCs w:val="20"/>
          <w:shd w:val="clear" w:fill="auto"/>
        </w:rPr>
        <w:t xml:space="preserve">9.9. В целях предупреждения фактов коррупционных и мошеннических действий Стороны предоставляют друг другу контакты Единой горячей линии для сообщений о фактах коррупции (контактные данные горячей линии указаны на официальном сайте ООО «Газпром энергохолдинг»).</w:t>
      </w:r>
    </w:p>
    <w:p>
      <w:pPr>
        <w:pStyle w:val="Normal"/>
        <w:widowControl w:val="off"/>
        <w:spacing w:before="0" w:after="0"/>
        <w:ind w:right="0" w:firstLine="567"/>
        <w:jc w:val="both"/>
        <w:rPr>
          <w:i/>
          <w:highlight w:val="none"/>
          <w:shd w:val="clear" w:fill="auto"/>
        </w:rPr>
      </w:pPr>
      <w:r>
        <w:rPr>
          <w:i/>
          <w:shd w:val="clear" w:fill="auto"/>
        </w:rPr>
      </w:r>
    </w:p>
    <w:p>
      <w:pPr>
        <w:pStyle w:val="Normal"/>
        <w:ind w:right="0" w:firstLine="567"/>
        <w:jc w:val="center"/>
        <w:rPr>
          <w:highlight w:val="none"/>
          <w:shd w:val="clear" w:fill="auto"/>
        </w:rPr>
      </w:pPr>
      <w:r>
        <w:rPr>
          <w:shd w:val="clear" w:fill="auto"/>
        </w:rPr>
        <w:t xml:space="preserve">10. СРОК ДЕЙСТВИЯ ДОГОВОРА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10.1. Настоящий договор вступает в силу с даты подписания, распространяет свое действие на отношения сторон, возникшие  с 00.00 часов «___» _____ 20__ г. и  действует до 24.00 часов «____» _________ 20__ г.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i/>
          <w:shd w:val="clear" w:fill="auto"/>
        </w:rPr>
        <w:t xml:space="preserve">10.2. </w:t>
        <w:tab/>
        <w:t xml:space="preserve">Настоящий Договор считается ежегодно продленным, если за один месяц до окончания срока не последует заявления одной из Сторон об отказе от настоящего Договора на следующий год, или о заключении Договора на иных условиях.</w:t>
      </w:r>
    </w:p>
    <w:p>
      <w:pPr>
        <w:pStyle w:val="Normal"/>
        <w:ind w:right="0" w:firstLine="567"/>
        <w:jc w:val="both"/>
        <w:rPr>
          <w:i/>
          <w:color w:val="ff0000"/>
          <w:highlight w:val="none"/>
          <w:shd w:val="clear" w:fill="auto"/>
        </w:rPr>
      </w:pPr>
      <w:r>
        <w:rPr>
          <w:i/>
          <w:color w:val="ff0000"/>
          <w:shd w:val="clear" w:fill="auto"/>
        </w:rPr>
      </w:r>
    </w:p>
    <w:p>
      <w:pPr>
        <w:pStyle w:val="Normal"/>
        <w:ind w:right="0" w:firstLine="567"/>
        <w:jc w:val="center"/>
        <w:rPr>
          <w:highlight w:val="none"/>
          <w:shd w:val="clear" w:fill="auto"/>
        </w:rPr>
      </w:pPr>
      <w:r>
        <w:rPr>
          <w:shd w:val="clear" w:fill="auto"/>
        </w:rPr>
        <w:t xml:space="preserve">11. ПРОЧИЕ УСЛОВИЯ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11.1. Признание недействительной части настоящего Договора не влечет недействительности прочих его частей.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11.2. Изменение условий настоящего Договора и дополнения к нему </w:t>
      </w:r>
      <w:r>
        <w:rPr>
          <w:rFonts w:eastAsia="Times New Roman" w:cs="Times New Roman"/>
          <w:i/>
          <w:color w:val="000000"/>
          <w:sz w:val="20"/>
          <w:szCs w:val="24"/>
          <w:shd w:val="clear" w:fill="auto"/>
          <w:lang w:val="ru-RU" w:eastAsia="zh-CN" w:bidi="ar-SA"/>
        </w:rPr>
        <w:t xml:space="preserve">(в том числе в случае возникновения необходимости в изменениях в связи с проведением мероприятий по наладке тепловых сетей и теплопотребляющих установок, а также при подготовке к проведению указанных мероприятий, включая изменение величины тепловых нагрузок теплопотребляющих установок в соответствии с пунктом 38 Правил организации теплоснабжения в Российской Федерации (утв. постановлением Правительства Российской Федерации от 08.08.2012 № 808), значений параметров качества теплоснабжения, режима потребления тепловой энергии и (или) теплоносителя) </w:t>
      </w:r>
      <w:r>
        <w:rPr>
          <w:shd w:val="clear" w:fill="auto"/>
        </w:rPr>
        <w:t xml:space="preserve">могут производиться путем заключения дополнительных соглашений, подписанных Сторонами в течение всего срока действия настоящего Договора.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11.3. Прекращение настоящего Договора не влечет прекращения обязательств Сторон, не исполненных к моменту расторжения Договора. 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11.4.</w:t>
        <w:tab/>
        <w:t xml:space="preserve">Настоящий Договор составлен в двух экземплярах, имеющих равную юридическую силу, по одному для каждой из Сторон. </w:t>
      </w:r>
    </w:p>
    <w:p>
      <w:pPr>
        <w:pStyle w:val="Normal"/>
        <w:ind w:right="0" w:firstLine="567"/>
        <w:jc w:val="both"/>
        <w:rPr>
          <w:color w:val="ff0000"/>
          <w:highlight w:val="none"/>
          <w:shd w:val="clear" w:fill="auto"/>
        </w:rPr>
      </w:pPr>
      <w:r>
        <w:rPr>
          <w:color w:val="ff0000"/>
          <w:shd w:val="clear" w:fill="auto"/>
        </w:rPr>
      </w:r>
    </w:p>
    <w:p>
      <w:pPr>
        <w:pStyle w:val="Normal"/>
        <w:ind w:right="0" w:firstLine="567"/>
        <w:jc w:val="center"/>
        <w:rPr>
          <w:highlight w:val="none"/>
          <w:shd w:val="clear" w:fill="auto"/>
        </w:rPr>
      </w:pPr>
      <w:r>
        <w:rPr>
          <w:shd w:val="clear" w:fill="auto"/>
        </w:rPr>
        <w:t xml:space="preserve">12. ПРИЛОЖЕНИЯ К ДОГОВОРУ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Неотъемлемой частью настоящего Договора являются следующие приложения: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Приложение № 1. Договорные величины отпуска тепловой энергии и теплоносителя. 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Приложение № 2. Схема подключения Потребителя к теплосети.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Приложение № 3. Акт разграничения балансовой принадлежности и определения границы эксплуатационной ответственности между Потребителем (</w:t>
      </w:r>
      <w:r>
        <w:rPr>
          <w:i/>
          <w:iCs/>
          <w:shd w:val="clear" w:fill="auto"/>
        </w:rPr>
        <w:t xml:space="preserve">и</w:t>
      </w:r>
      <w:r>
        <w:rPr>
          <w:shd w:val="clear" w:fill="auto"/>
        </w:rPr>
        <w:t xml:space="preserve">) Теплоснабжающей организацией </w:t>
      </w:r>
      <w:r>
        <w:rPr>
          <w:i/>
          <w:iCs/>
          <w:shd w:val="clear" w:fill="auto"/>
        </w:rPr>
        <w:t xml:space="preserve">и Теплосетевой организацией. 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Приложение № 4. Температурный график работы теплосети.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Приложение № 5 Перечень приборов учета, по которым производится расчет за отпущенную тепловую энергию и теплоноситель. 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Приложение № 6. Список уполномоченных представителей Сторон, имеющих право подписи от имени Сторон Актов  отпуска и потребления тепловой энергии и теплоносителя, УПД, Актов сверок.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Приложение № 7. Форма Акта об отпуске и потреблении тепловой энергии и теплоносителя по показаниям приборов учета. 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Приложение № 8. Нормативные тепловые потери в тепловых сетях Потребителя.</w:t>
      </w:r>
    </w:p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  <w:t xml:space="preserve">Приложение № 9. Форма Акта готовности Потребителя к пуску тепловой энергии и теплоносителя в отопительный период 20_ - 20_ гг.</w:t>
      </w:r>
    </w:p>
    <w:p>
      <w:pPr>
        <w:pStyle w:val="Normal"/>
        <w:ind w:right="0" w:firstLine="0"/>
        <w:jc w:val="left"/>
        <w:rPr>
          <w:color w:val="ff0000"/>
          <w:highlight w:val="none"/>
          <w:shd w:val="clear" w:fill="auto"/>
        </w:rPr>
      </w:pPr>
      <w:r>
        <w:rPr>
          <w:color w:val="ff0000"/>
          <w:shd w:val="clear" w:fill="auto"/>
        </w:rPr>
      </w:r>
    </w:p>
    <w:p>
      <w:pPr>
        <w:pStyle w:val="Normal"/>
        <w:ind w:right="0" w:firstLine="567"/>
        <w:jc w:val="center"/>
        <w:rPr>
          <w:highlight w:val="none"/>
          <w:shd w:val="clear" w:fill="auto"/>
        </w:rPr>
      </w:pPr>
      <w:r>
        <w:rPr>
          <w:shd w:val="clear" w:fill="auto"/>
        </w:rPr>
        <w:t xml:space="preserve">13. ЮРИДИЧЕСКИЕ АДРЕСА СТОРОН И БАНКОВСКИЕ РЕКВИЗИТЫ:</w:t>
      </w:r>
    </w:p>
    <w:tbl>
      <w:tblPr>
        <w:tblW w:w="9571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>
        <w:trPr/>
        <w:tc>
          <w:tcPr>
            <w:tcW w:w="4785" w:type="dxa"/>
          </w:tcPr>
          <w:p>
            <w:pPr>
              <w:pStyle w:val="Normal"/>
              <w:ind w:right="0" w:firstLine="567"/>
              <w:jc w:val="both"/>
              <w:rPr>
                <w:highlight w:val="none"/>
                <w:shd w:val="clear" w:fill="auto"/>
              </w:rPr>
            </w:pPr>
            <w:r>
              <w:rPr>
                <w:shd w:val="clear" w:fill="auto"/>
              </w:rPr>
            </w:r>
          </w:p>
          <w:p>
            <w:pPr>
              <w:pStyle w:val="Normal"/>
              <w:ind w:right="0" w:firstLine="567"/>
              <w:jc w:val="both"/>
              <w:rPr>
                <w:highlight w:val="none"/>
                <w:shd w:val="clear" w:fill="auto"/>
              </w:rPr>
            </w:pPr>
            <w:r>
              <w:rPr>
                <w:shd w:val="clear" w:fill="auto"/>
              </w:rPr>
            </w:r>
          </w:p>
          <w:p>
            <w:pPr>
              <w:pStyle w:val="Normal"/>
              <w:ind w:right="0" w:firstLine="567"/>
              <w:jc w:val="both"/>
              <w:rPr>
                <w:highlight w:val="none"/>
                <w:shd w:val="clear" w:fill="auto"/>
              </w:rPr>
            </w:pPr>
            <w:r>
              <w:rPr>
                <w:shd w:val="clear" w:fill="auto"/>
              </w:rPr>
              <w:t xml:space="preserve">   </w:t>
            </w:r>
            <w:r>
              <w:rPr>
                <w:shd w:val="clear" w:fill="auto"/>
              </w:rPr>
              <w:t xml:space="preserve">Теплоснабжающая организация</w:t>
            </w:r>
          </w:p>
          <w:p>
            <w:pPr>
              <w:pStyle w:val="Normal"/>
              <w:ind w:right="0" w:firstLine="567"/>
              <w:jc w:val="both"/>
              <w:rPr>
                <w:highlight w:val="none"/>
                <w:shd w:val="clear" w:fill="auto"/>
              </w:rPr>
            </w:pPr>
            <w:r>
              <w:rPr>
                <w:shd w:val="clear" w:fill="auto"/>
              </w:rPr>
            </w:r>
          </w:p>
          <w:p>
            <w:pPr>
              <w:pStyle w:val="Normal"/>
              <w:ind w:right="0" w:firstLine="567"/>
              <w:jc w:val="both"/>
              <w:rPr>
                <w:highlight w:val="none"/>
                <w:shd w:val="clear" w:fill="auto"/>
              </w:rPr>
            </w:pPr>
            <w:r>
              <w:rPr>
                <w:shd w:val="clear" w:fill="auto"/>
              </w:rPr>
            </w:r>
          </w:p>
          <w:p>
            <w:pPr>
              <w:pStyle w:val="Normal"/>
              <w:ind w:right="0" w:firstLine="567"/>
              <w:jc w:val="both"/>
              <w:rPr>
                <w:highlight w:val="none"/>
                <w:shd w:val="clear" w:fill="auto"/>
              </w:rPr>
            </w:pPr>
            <w:r>
              <w:rPr>
                <w:shd w:val="clear" w:fill="auto"/>
              </w:rPr>
            </w:r>
          </w:p>
          <w:p>
            <w:pPr>
              <w:pStyle w:val="Normal"/>
              <w:ind w:right="0" w:firstLine="567"/>
              <w:jc w:val="both"/>
              <w:rPr>
                <w:highlight w:val="none"/>
                <w:shd w:val="clear" w:fill="auto"/>
              </w:rPr>
            </w:pPr>
            <w:r>
              <w:rPr>
                <w:shd w:val="clear" w:fill="auto"/>
              </w:rPr>
              <w:t xml:space="preserve">      </w:t>
            </w:r>
            <w:r>
              <w:rPr>
                <w:shd w:val="clear" w:fill="auto"/>
              </w:rPr>
              <w:t xml:space="preserve">_______________   ФИО</w:t>
            </w:r>
          </w:p>
          <w:p>
            <w:pPr>
              <w:pStyle w:val="Normal"/>
              <w:ind w:right="0" w:firstLine="567"/>
              <w:jc w:val="both"/>
              <w:rPr>
                <w:highlight w:val="none"/>
                <w:shd w:val="clear" w:fill="auto"/>
              </w:rPr>
            </w:pPr>
            <w:r>
              <w:rPr>
                <w:shd w:val="clear" w:fill="auto"/>
              </w:rPr>
            </w:r>
          </w:p>
          <w:p>
            <w:pPr>
              <w:pStyle w:val="Normal"/>
              <w:ind w:right="0" w:firstLine="567"/>
              <w:jc w:val="both"/>
              <w:rPr>
                <w:highlight w:val="none"/>
                <w:shd w:val="clear" w:fill="auto"/>
              </w:rPr>
            </w:pPr>
            <w:r>
              <w:rPr>
                <w:shd w:val="clear" w:fill="auto"/>
              </w:rPr>
              <w:t xml:space="preserve">    </w:t>
            </w:r>
            <w:r>
              <w:rPr>
                <w:shd w:val="clear" w:fill="auto"/>
              </w:rPr>
              <w:t xml:space="preserve">"_____ " _______________   20__ г.</w:t>
            </w:r>
          </w:p>
        </w:tc>
        <w:tc>
          <w:tcPr>
            <w:tcW w:w="4785" w:type="dxa"/>
          </w:tcPr>
          <w:p>
            <w:pPr>
              <w:pStyle w:val="Normal"/>
              <w:ind w:right="0" w:firstLine="567"/>
              <w:jc w:val="both"/>
              <w:rPr>
                <w:highlight w:val="none"/>
                <w:shd w:val="clear" w:fill="auto"/>
              </w:rPr>
            </w:pPr>
            <w:r>
              <w:rPr>
                <w:shd w:val="clear" w:fill="auto"/>
              </w:rPr>
            </w:r>
          </w:p>
          <w:p>
            <w:pPr>
              <w:pStyle w:val="Normal"/>
              <w:ind w:right="0" w:firstLine="567"/>
              <w:jc w:val="both"/>
              <w:rPr>
                <w:highlight w:val="none"/>
                <w:shd w:val="clear" w:fill="auto"/>
              </w:rPr>
            </w:pPr>
            <w:r>
              <w:rPr>
                <w:shd w:val="clear" w:fill="auto"/>
              </w:rPr>
            </w:r>
          </w:p>
          <w:p>
            <w:pPr>
              <w:pStyle w:val="Normal"/>
              <w:ind w:right="0" w:firstLine="567"/>
              <w:jc w:val="both"/>
              <w:rPr>
                <w:highlight w:val="none"/>
                <w:shd w:val="clear" w:fill="auto"/>
              </w:rPr>
            </w:pPr>
            <w:r>
              <w:rPr>
                <w:shd w:val="clear" w:fill="auto"/>
                <w:lang w:val="en-US"/>
              </w:rPr>
              <w:t xml:space="preserve">            </w:t>
            </w:r>
            <w:r>
              <w:rPr>
                <w:shd w:val="clear" w:fill="auto"/>
              </w:rPr>
              <w:t xml:space="preserve">Потребитель</w:t>
            </w:r>
          </w:p>
          <w:p>
            <w:pPr>
              <w:pStyle w:val="Normal"/>
              <w:ind w:right="0" w:firstLine="567"/>
              <w:jc w:val="both"/>
              <w:rPr>
                <w:highlight w:val="none"/>
                <w:shd w:val="clear" w:fill="auto"/>
              </w:rPr>
            </w:pPr>
            <w:r>
              <w:rPr>
                <w:shd w:val="clear" w:fill="auto"/>
              </w:rPr>
            </w:r>
          </w:p>
          <w:p>
            <w:pPr>
              <w:pStyle w:val="Normal"/>
              <w:ind w:right="0" w:firstLine="567"/>
              <w:jc w:val="both"/>
              <w:rPr>
                <w:highlight w:val="none"/>
                <w:shd w:val="clear" w:fill="auto"/>
              </w:rPr>
            </w:pPr>
            <w:r>
              <w:rPr>
                <w:shd w:val="clear" w:fill="auto"/>
              </w:rPr>
            </w:r>
          </w:p>
          <w:p>
            <w:pPr>
              <w:pStyle w:val="Normal"/>
              <w:ind w:right="0" w:firstLine="567"/>
              <w:jc w:val="both"/>
              <w:rPr>
                <w:highlight w:val="none"/>
                <w:shd w:val="clear" w:fill="auto"/>
              </w:rPr>
            </w:pPr>
            <w:r>
              <w:rPr>
                <w:shd w:val="clear" w:fill="auto"/>
              </w:rPr>
            </w:r>
          </w:p>
          <w:p>
            <w:pPr>
              <w:pStyle w:val="Normal"/>
              <w:ind w:right="0" w:firstLine="567"/>
              <w:jc w:val="both"/>
              <w:rPr>
                <w:highlight w:val="none"/>
                <w:shd w:val="clear" w:fill="auto"/>
              </w:rPr>
            </w:pPr>
            <w:r>
              <w:rPr>
                <w:shd w:val="clear" w:fill="auto"/>
              </w:rPr>
              <w:t xml:space="preserve">              </w:t>
            </w:r>
            <w:r>
              <w:rPr>
                <w:shd w:val="clear" w:fill="auto"/>
              </w:rPr>
              <w:t xml:space="preserve">______________ФИО</w:t>
            </w:r>
          </w:p>
          <w:p>
            <w:pPr>
              <w:pStyle w:val="Normal"/>
              <w:ind w:right="0" w:firstLine="567"/>
              <w:jc w:val="both"/>
              <w:rPr>
                <w:highlight w:val="none"/>
                <w:shd w:val="clear" w:fill="auto"/>
              </w:rPr>
            </w:pPr>
            <w:r>
              <w:rPr>
                <w:shd w:val="clear" w:fill="auto"/>
              </w:rPr>
            </w:r>
          </w:p>
          <w:p>
            <w:pPr>
              <w:pStyle w:val="Normal"/>
              <w:ind w:right="0" w:firstLine="567"/>
              <w:jc w:val="both"/>
              <w:rPr>
                <w:highlight w:val="none"/>
                <w:shd w:val="clear" w:fill="auto"/>
              </w:rPr>
            </w:pPr>
            <w:r>
              <w:rPr>
                <w:shd w:val="clear" w:fill="auto"/>
              </w:rPr>
              <w:t xml:space="preserve">             </w:t>
            </w:r>
            <w:r>
              <w:rPr>
                <w:shd w:val="clear" w:fill="auto"/>
              </w:rPr>
              <w:t xml:space="preserve">"____ " _______________ 20__ г.</w:t>
            </w:r>
          </w:p>
        </w:tc>
      </w:tr>
    </w:tbl>
    <w:p>
      <w:pPr>
        <w:pStyle w:val="Normal"/>
        <w:ind w:right="0" w:firstLine="567"/>
        <w:jc w:val="both"/>
        <w:rPr>
          <w:highlight w:val="none"/>
          <w:shd w:val="clear" w:fill="auto"/>
        </w:rPr>
      </w:pPr>
      <w:r>
        <w:rPr>
          <w:shd w:val="clear" w:fill="auto"/>
        </w:rPr>
      </w:r>
    </w:p>
    <w:p>
      <w:pPr>
        <w:pStyle w:val="Normal"/>
        <w:ind w:right="0" w:firstLine="567"/>
        <w:jc w:val="both"/>
        <w:rPr>
          <w:color w:val="c9211e"/>
          <w:highlight w:val="none"/>
          <w:shd w:val="clear" w:fill="auto"/>
        </w:rPr>
      </w:pPr>
      <w:r>
        <w:rPr>
          <w:color w:val="c9211e"/>
          <w:shd w:val="clear" w:fill="auto"/>
        </w:rPr>
      </w:r>
    </w:p>
    <w:sectPr>
      <w:footnotePr>
        <w:numFmt w:val="decimal"/>
      </w:footnotePr>
      <w:type w:val="nextPage"/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6030504020204"/>
  </w:font>
  <w:font w:name="Tempora LGC Uni">
    <w:panose1 w:val="02020603050405020304"/>
  </w:font>
  <w:font w:name="Tahoma">
    <w:panose1 w:val="020B0606030504020204"/>
  </w:font>
  <w:font w:name="Wingdings">
    <w:panose1 w:val="05010000000000000000"/>
  </w:font>
  <w:font w:name="Symbol">
    <w:panose1 w:val="05010000000000000000"/>
  </w:font>
  <w:font w:name="Arial">
    <w:panose1 w:val="020B0604020202020204"/>
  </w:font>
  <w:font w:name="Courier New">
    <w:panose1 w:val="02070409020205020404"/>
  </w:font>
  <w:font w:name="Lohit Devanagari">
    <w:panose1 w:val="020B0600000000000000"/>
  </w:font>
  <w:font w:name="Droid Sans Fallback">
    <w:panose1 w:val="020B0502000000000001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0">
    <w:p>
      <w:pPr>
        <w:rPr>
          <w:sz w:val="12"/>
        </w:rPr>
      </w:pPr>
      <w:r>
        <w:separator/>
      </w:r>
    </w:p>
  </w:footnote>
  <w:footnote w:type="continuationSeparator" w:id="1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ind w:right="0" w:firstLine="708"/>
        <w:jc w:val="both"/>
      </w:pPr>
      <w:r>
        <w:rPr>
          <w:rStyle w:val="Style11"/>
        </w:rPr>
        <w:footnoteRef/>
      </w:r>
      <w:r>
        <w:t xml:space="preserve"> </w:t>
      </w:r>
      <w:r>
        <w:rPr>
          <w:sz w:val="16"/>
          <w:szCs w:val="16"/>
        </w:rPr>
        <w:t xml:space="preserve">Условия договора, выделенные курсивом, являются изменяемыми в зависимости от формы собственности, вида деятельности и источников финансирования Потребителя (бюджетные и казенные учреждения, казенные предприятия, товарищества собственников жилья, жилищные кооперативы, управляющие компании), их изменение, дополнение, удаление данного пункта в целом или части из текста настоящего договора допускается. Остальные условия договора являются стандартными и изменению или удалению не подлежат.</w:t>
      </w:r>
    </w:p>
    <w:p>
      <w:pPr>
        <w:pStyle w:val="FootnoteText"/>
      </w:pP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>
    <w:multiLevelType w:val="hybridMultilevel"/>
    <w:lvl w:ilvl="0">
      <w:start w:val="1"/>
      <w:numFmt w:val="decimal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multiLevelType w:val="hybridMultilevel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numFmt w:val="decimal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Droid Sans Fallback" w:cs="Lohit Devanagari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 w:val="off"/>
      <w:spacing w:before="0" w:after="0"/>
      <w:jc w:val="left"/>
    </w:pPr>
    <w:rPr>
      <w:rFonts w:ascii="Times New Roman" w:hAnsi="Times New Roman" w:eastAsia="Times New Roman" w:cs="Times New Roman"/>
      <w:color w:val="auto"/>
      <w:sz w:val="20"/>
      <w:szCs w:val="20"/>
      <w:lang w:val="ru-RU" w:eastAsia="zh-CN" w:bidi="ar-SA"/>
    </w:rPr>
  </w:style>
  <w:style w:type="paragraph" w:styleId="Heading1">
    <w:name w:val="Heading 1"/>
    <w:basedOn w:val="Normal"/>
    <w:qFormat/>
    <w:pPr>
      <w:keepNext/>
      <w:numPr>
        <w:numId w:val="1"/>
        <w:ilvl w:val="0"/>
      </w:numPr>
      <w:shd w:val="clear" w:color="auto" w:fill="ffffff"/>
      <w:spacing w:before="240" w:after="0"/>
      <w:ind w:left="113" w:right="57" w:firstLine="284"/>
      <w:jc w:val="center"/>
      <w:outlineLvl w:val="0"/>
    </w:pPr>
    <w:rPr>
      <w:b/>
      <w:bCs/>
      <w:color w:val="000000"/>
      <w:spacing w:val="-5"/>
      <w:sz w:val="22"/>
      <w:szCs w:val="22"/>
    </w:rPr>
  </w:style>
  <w:style w:type="paragraph" w:styleId="Heading2">
    <w:name w:val="Heading 2"/>
    <w:basedOn w:val="Normal"/>
    <w:qFormat/>
    <w:pPr>
      <w:keepNext/>
      <w:numPr>
        <w:numId w:val="1"/>
        <w:ilvl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4"/>
    </w:rPr>
  </w:style>
  <w:style w:type="paragraph" w:styleId="Heading3">
    <w:name w:val="Heading 3"/>
    <w:basedOn w:val="Normal"/>
    <w:qFormat/>
    <w:pPr>
      <w:keepNext/>
      <w:numPr>
        <w:numId w:val="1"/>
        <w:ilvl w:val="2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Heading4">
    <w:name w:val="Heading 4"/>
    <w:basedOn w:val="Normal"/>
    <w:qFormat/>
    <w:pPr>
      <w:keepNext/>
      <w:numPr>
        <w:numId w:val="1"/>
        <w:ilvl w:val="3"/>
      </w:numPr>
      <w:shd w:val="clear" w:color="auto" w:fill="ffffff"/>
      <w:spacing w:before="240" w:after="0" w:line="250" w:lineRule="exact"/>
      <w:ind w:left="113" w:right="57" w:firstLine="284"/>
      <w:jc w:val="both"/>
      <w:outlineLvl w:val="3"/>
    </w:pPr>
    <w:rPr>
      <w:b/>
      <w:bCs/>
      <w:color w:val="000000"/>
      <w:spacing w:val="-13"/>
      <w:sz w:val="22"/>
      <w:szCs w:val="22"/>
    </w:rPr>
  </w:style>
  <w:style w:type="paragraph" w:styleId="Heading5">
    <w:name w:val="Heading 5"/>
    <w:basedOn w:val="Normal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uiPriority w:val="10"/>
    <w:qFormat/>
    <w:rPr>
      <w:sz w:val="48"/>
      <w:szCs w:val="48"/>
    </w:rPr>
  </w:style>
  <w:style w:type="character" w:styleId="SubtitleChar">
    <w:name w:val="Subtitle Char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uiPriority w:val="99"/>
    <w:qFormat/>
  </w:style>
  <w:style w:type="character" w:styleId="FooterChar">
    <w:name w:val="Footer Char"/>
    <w:uiPriority w:val="99"/>
    <w:qFormat/>
  </w:style>
  <w:style w:type="character" w:styleId="CaptionChar">
    <w:name w:val="Caption Char"/>
    <w:uiPriority w:val="99"/>
    <w:qFormat/>
  </w:style>
  <w:style w:type="character" w:styleId="Hyperlink">
    <w:name w:val="Hyperlink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WW8Num2z0">
    <w:name w:val="WW8Num2z0"/>
    <w:qFormat/>
    <w:rPr>
      <w:rFonts w:ascii="Symbol" w:hAnsi="Symbol" w:cs="Symbol"/>
    </w:rPr>
  </w:style>
  <w:style w:type="character" w:styleId="WW8Num1z0">
    <w:name w:val="WW8Num1z0"/>
    <w:qFormat/>
  </w:style>
  <w:style w:type="character" w:styleId="WW8Num3z0">
    <w:name w:val="WW8Num3z0"/>
    <w:qFormat/>
    <w:rPr>
      <w:rFonts w:ascii="Symbol" w:hAnsi="Symbol" w:cs="Symbol"/>
    </w:rPr>
  </w:style>
  <w:style w:type="character" w:styleId="WW8Num4z0">
    <w:name w:val="WW8Num4z0"/>
    <w:qFormat/>
    <w:rPr>
      <w:rFonts w:ascii="Times New Roman" w:hAnsi="Times New Roman" w:cs="Times New Roman"/>
    </w:rPr>
  </w:style>
  <w:style w:type="character" w:styleId="WW8Num5z0">
    <w:name w:val="WW8Num5z0"/>
    <w:qFormat/>
    <w:rPr>
      <w:rFonts w:ascii="Symbol" w:hAnsi="Symbol" w:cs="Symbol"/>
    </w:rPr>
  </w:style>
  <w:style w:type="character" w:styleId="WW8Num6z0">
    <w:name w:val="WW8Num6z0"/>
    <w:qFormat/>
  </w:style>
  <w:style w:type="character" w:styleId="WW8Num7z0">
    <w:name w:val="WW8Num7z0"/>
    <w:qFormat/>
  </w:style>
  <w:style w:type="character" w:styleId="WW8Num8z0">
    <w:name w:val="WW8Num8z0"/>
    <w:qFormat/>
  </w:style>
  <w:style w:type="character" w:styleId="WW8Num9z0">
    <w:name w:val="WW8Num9z0"/>
    <w:qFormat/>
    <w:rPr>
      <w:b w:val="0"/>
      <w:color w:val="000000"/>
    </w:rPr>
  </w:style>
  <w:style w:type="character" w:styleId="WW8Num10z0">
    <w:name w:val="WW8Num10z0"/>
    <w:qFormat/>
    <w:rPr>
      <w:rFonts w:ascii="Symbol" w:hAnsi="Symbol" w:cs="Symbol"/>
    </w:rPr>
  </w:style>
  <w:style w:type="character" w:styleId="WW8Num11z0">
    <w:name w:val="WW8Num11z0"/>
    <w:qFormat/>
    <w:rPr>
      <w:rFonts w:ascii="Symbol" w:hAnsi="Symbol" w:cs="Symbol"/>
    </w:rPr>
  </w:style>
  <w:style w:type="character" w:styleId="WW8Num12z0">
    <w:name w:val="WW8Num12z0"/>
    <w:qFormat/>
    <w:rPr>
      <w:rFonts w:ascii="Symbol" w:hAnsi="Symbol" w:cs="Symbol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3z0">
    <w:name w:val="WW8Num13z0"/>
    <w:qFormat/>
    <w:rPr>
      <w:rFonts w:ascii="Symbol" w:hAnsi="Symbol" w:cs="Symbol"/>
    </w:rPr>
  </w:style>
  <w:style w:type="character" w:styleId="WW8Num13z1">
    <w:name w:val="WW8Num13z1"/>
    <w:qFormat/>
    <w:rPr>
      <w:rFonts w:ascii="Courier New" w:hAnsi="Courier New" w:cs="Courier New"/>
    </w:rPr>
  </w:style>
  <w:style w:type="character" w:styleId="WW8Num13z2">
    <w:name w:val="WW8Num13z2"/>
    <w:qFormat/>
    <w:rPr>
      <w:rFonts w:ascii="Wingdings" w:hAnsi="Wingdings" w:cs="Wingdings"/>
    </w:rPr>
  </w:style>
  <w:style w:type="character" w:styleId="WW8Num14z0">
    <w:name w:val="WW8Num14z0"/>
    <w:qFormat/>
  </w:style>
  <w:style w:type="character" w:styleId="WW8Num15z0">
    <w:name w:val="WW8Num15z0"/>
    <w:qFormat/>
  </w:style>
  <w:style w:type="character" w:styleId="WW8Num16z2">
    <w:name w:val="WW8Num16z2"/>
    <w:qFormat/>
    <w:rPr>
      <w:rFonts w:ascii="Times New Roman" w:hAnsi="Times New Roman" w:eastAsia="Times New Roman" w:cs="Times New Roman"/>
    </w:rPr>
  </w:style>
  <w:style w:type="character" w:styleId="WW8Num17z0">
    <w:name w:val="WW8Num17z0"/>
    <w:qFormat/>
    <w:rPr>
      <w:rFonts w:ascii="Symbol" w:hAnsi="Symbol" w:cs="Symbol"/>
    </w:rPr>
  </w:style>
  <w:style w:type="character" w:styleId="WW8Num18z0">
    <w:name w:val="WW8Num18z0"/>
    <w:qFormat/>
  </w:style>
  <w:style w:type="character" w:styleId="WW8Num19z0">
    <w:name w:val="WW8Num19z0"/>
    <w:qFormat/>
    <w:rPr>
      <w:b/>
      <w:bCs/>
    </w:rPr>
  </w:style>
  <w:style w:type="character" w:styleId="WW8Num20z0">
    <w:name w:val="WW8Num20z0"/>
    <w:qFormat/>
  </w:style>
  <w:style w:type="character" w:styleId="WW8Num21z0">
    <w:name w:val="WW8Num21z0"/>
    <w:qFormat/>
  </w:style>
  <w:style w:type="character" w:styleId="WW8Num22z0">
    <w:name w:val="WW8Num22z0"/>
    <w:qFormat/>
  </w:style>
  <w:style w:type="character" w:styleId="WW8Num23z0">
    <w:name w:val="WW8Num23z0"/>
    <w:qFormat/>
  </w:style>
  <w:style w:type="character" w:styleId="WW8Num23z3">
    <w:name w:val="WW8Num23z3"/>
    <w:qFormat/>
    <w:rPr>
      <w:rFonts w:ascii="Symbol" w:hAnsi="Symbol" w:cs="Symbol"/>
      <w:color w:val="000000"/>
    </w:rPr>
  </w:style>
  <w:style w:type="character" w:styleId="WW8Num24z0">
    <w:name w:val="WW8Num24z0"/>
    <w:qFormat/>
  </w:style>
  <w:style w:type="character" w:styleId="WW8Num25z0">
    <w:name w:val="WW8Num25z0"/>
    <w:qFormat/>
  </w:style>
  <w:style w:type="character" w:styleId="WW8Num26z0">
    <w:name w:val="WW8Num26z0"/>
    <w:qFormat/>
    <w:rPr>
      <w:rFonts w:ascii="Symbol" w:hAnsi="Symbol" w:cs="Symbol"/>
    </w:rPr>
  </w:style>
  <w:style w:type="character" w:styleId="WW8Num26z1">
    <w:name w:val="WW8Num26z1"/>
    <w:qFormat/>
    <w:rPr>
      <w:rFonts w:ascii="Courier New" w:hAnsi="Courier New" w:cs="Courier New"/>
    </w:rPr>
  </w:style>
  <w:style w:type="character" w:styleId="WW8Num26z2">
    <w:name w:val="WW8Num26z2"/>
    <w:qFormat/>
    <w:rPr>
      <w:rFonts w:ascii="Wingdings" w:hAnsi="Wingdings" w:cs="Wingdings"/>
    </w:rPr>
  </w:style>
  <w:style w:type="character" w:styleId="WW8Num27z0">
    <w:name w:val="WW8Num27z0"/>
    <w:qFormat/>
    <w:rPr>
      <w:rFonts w:ascii="Symbol" w:hAnsi="Symbol" w:cs="Symbol"/>
    </w:rPr>
  </w:style>
  <w:style w:type="character" w:styleId="WW8Num27z1">
    <w:name w:val="WW8Num27z1"/>
    <w:qFormat/>
    <w:rPr>
      <w:rFonts w:ascii="Courier New" w:hAnsi="Courier New" w:cs="Courier New"/>
    </w:rPr>
  </w:style>
  <w:style w:type="character" w:styleId="WW8Num27z2">
    <w:name w:val="WW8Num27z2"/>
    <w:qFormat/>
    <w:rPr>
      <w:rFonts w:ascii="Wingdings" w:hAnsi="Wingdings" w:cs="Wingdings"/>
    </w:rPr>
  </w:style>
  <w:style w:type="character" w:styleId="WW8Num28z0">
    <w:name w:val="WW8Num28z0"/>
    <w:qFormat/>
    <w:rPr>
      <w:rFonts w:ascii="Symbol" w:hAnsi="Symbol" w:cs="Symbol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9z0">
    <w:name w:val="WW8Num29z0"/>
    <w:qFormat/>
  </w:style>
  <w:style w:type="character" w:styleId="WW8Num30z0">
    <w:name w:val="WW8Num30z0"/>
    <w:qFormat/>
    <w:rPr>
      <w:rFonts w:ascii="Times New Roman" w:hAnsi="Times New Roman" w:cs="Times New Roman"/>
    </w:rPr>
  </w:style>
  <w:style w:type="character" w:styleId="WW8Num31z0">
    <w:name w:val="WW8Num31z0"/>
    <w:qFormat/>
    <w:rPr>
      <w:rFonts w:ascii="Symbol" w:hAnsi="Symbol" w:cs="Symbol"/>
    </w:rPr>
  </w:style>
  <w:style w:type="character" w:styleId="WW8Num32z0">
    <w:name w:val="WW8Num32z0"/>
    <w:qFormat/>
    <w:rPr>
      <w:rFonts w:ascii="Symbol" w:hAnsi="Symbol" w:cs="Symbol"/>
    </w:rPr>
  </w:style>
  <w:style w:type="character" w:styleId="WW8Num32z1">
    <w:name w:val="WW8Num32z1"/>
    <w:qFormat/>
    <w:rPr>
      <w:rFonts w:ascii="Courier New" w:hAnsi="Courier New" w:cs="Courier New"/>
    </w:rPr>
  </w:style>
  <w:style w:type="character" w:styleId="WW8Num32z2">
    <w:name w:val="WW8Num32z2"/>
    <w:qFormat/>
    <w:rPr>
      <w:rFonts w:ascii="Wingdings" w:hAnsi="Wingdings" w:cs="Wingdings"/>
    </w:rPr>
  </w:style>
  <w:style w:type="character" w:styleId="WW8Num33z0">
    <w:name w:val="WW8Num33z0"/>
    <w:qFormat/>
  </w:style>
  <w:style w:type="character" w:styleId="WW8Num34z0">
    <w:name w:val="WW8Num34z0"/>
    <w:qFormat/>
  </w:style>
  <w:style w:type="character" w:styleId="Style5">
    <w:name w:val="Основной шрифт абзаца"/>
    <w:qFormat/>
  </w:style>
  <w:style w:type="character" w:styleId="PageNumber">
    <w:name w:val="Page Number"/>
    <w:basedOn w:val="Style5"/>
  </w:style>
  <w:style w:type="character" w:styleId="Style6">
    <w:name w:val="Текст Знак"/>
    <w:qFormat/>
    <w:rPr>
      <w:rFonts w:ascii="Courier New" w:hAnsi="Courier New" w:cs="Courier New"/>
      <w:lang w:val="ru-RU" w:bidi="ar-SA"/>
    </w:rPr>
  </w:style>
  <w:style w:type="character" w:styleId="Style7">
    <w:name w:val="Нижний колонтитул Знак"/>
    <w:basedOn w:val="Style5"/>
    <w:qFormat/>
  </w:style>
  <w:style w:type="character" w:styleId="Style8">
    <w:name w:val="Текст концевой сноски Знак"/>
    <w:basedOn w:val="Style5"/>
    <w:qFormat/>
  </w:style>
  <w:style w:type="character" w:styleId="Style9">
    <w:name w:val="Символ концевой сноски"/>
    <w:qFormat/>
    <w:rPr>
      <w:vertAlign w:val="superscript"/>
    </w:rPr>
  </w:style>
  <w:style w:type="character" w:styleId="Style10">
    <w:name w:val="Текст сноски Знак"/>
    <w:basedOn w:val="Style5"/>
    <w:qFormat/>
  </w:style>
  <w:style w:type="character" w:styleId="Style11">
    <w:name w:val="Символ сноски"/>
    <w:qFormat/>
    <w:rPr>
      <w:vertAlign w:val="superscript"/>
    </w:rPr>
  </w:style>
  <w:style w:type="character" w:styleId="Style12">
    <w:name w:val="Знак примечания"/>
    <w:qFormat/>
    <w:rPr>
      <w:sz w:val="16"/>
      <w:szCs w:val="16"/>
    </w:rPr>
  </w:style>
  <w:style w:type="character" w:styleId="Style13">
    <w:name w:val="Текст примечания Знак"/>
    <w:basedOn w:val="Style5"/>
    <w:qFormat/>
  </w:style>
  <w:style w:type="character" w:styleId="Style14">
    <w:name w:val="Тема примечания Знак"/>
    <w:qFormat/>
    <w:rPr>
      <w:b/>
      <w:bCs/>
    </w:rPr>
  </w:style>
  <w:style w:type="character" w:styleId="FootnoteReference1">
    <w:name w:val="Footnote Reference1"/>
    <w:qFormat/>
    <w:rPr>
      <w:vertAlign w:val="superscript"/>
    </w:rPr>
  </w:style>
  <w:style w:type="character" w:styleId="LineNumber">
    <w:name w:val="Line Number"/>
  </w:style>
  <w:style w:type="character" w:styleId="EndnoteReference1">
    <w:name w:val="Endnote Reference1"/>
    <w:qFormat/>
    <w:rPr>
      <w:vertAlign w:val="superscript"/>
    </w:rPr>
  </w:style>
  <w:style w:type="character" w:styleId="FootnoteReference2">
    <w:name w:val="Footnote Reference2"/>
    <w:qFormat/>
    <w:rPr>
      <w:vertAlign w:val="superscript"/>
    </w:rPr>
  </w:style>
  <w:style w:type="character" w:styleId="EndnoteReference2">
    <w:name w:val="Endnote Reference2"/>
    <w:qFormat/>
    <w:rPr>
      <w:vertAlign w:val="superscript"/>
    </w:rPr>
  </w:style>
  <w:style w:type="character" w:styleId="FootnoteReference3">
    <w:name w:val="Footnote Reference3"/>
    <w:qFormat/>
    <w:rPr>
      <w:vertAlign w:val="superscript"/>
    </w:rPr>
  </w:style>
  <w:style w:type="character" w:styleId="EndnoteReference3">
    <w:name w:val="Endnote Reference3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</w:style>
  <w:style w:type="paragraph" w:styleId="Style15">
    <w:name w:val="Заголовок"/>
    <w:basedOn w:val="Normal"/>
    <w:next w:val="BodyText"/>
    <w:qFormat/>
    <w:pPr>
      <w:shd w:val="clear" w:color="auto" w:fill="ffffff"/>
      <w:spacing w:line="499" w:lineRule="exact"/>
      <w:ind w:left="19" w:right="0" w:firstLine="0"/>
      <w:jc w:val="center"/>
    </w:pPr>
    <w:rPr>
      <w:b/>
      <w:bCs/>
      <w:color w:val="000000"/>
      <w:spacing w:val="-16"/>
      <w:sz w:val="23"/>
      <w:szCs w:val="23"/>
    </w:rPr>
  </w:style>
  <w:style w:type="paragraph" w:styleId="BodyText">
    <w:name w:val="Body Text"/>
    <w:basedOn w:val="Normal"/>
    <w:pPr>
      <w:jc w:val="both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/>
      <w:contextualSpacing/>
    </w:pPr>
  </w:style>
  <w:style w:type="paragraph" w:styleId="NoSpacing">
    <w:name w:val="No Spacing"/>
    <w:uiPriority w:val="1"/>
    <w:qFormat/>
    <w:pPr>
      <w:widowControl/>
      <w:spacing w:before="0" w:after="0" w:line="240" w:lineRule="auto"/>
      <w:jc w:val="left"/>
    </w:pPr>
    <w:rPr>
      <w:rFonts w:ascii="Times New Roman" w:hAnsi="Times New Roman" w:eastAsia="Droid Sans Fallback" w:cs="Lohit Devanagari"/>
      <w:color w:val="auto"/>
      <w:sz w:val="20"/>
      <w:szCs w:val="20"/>
      <w:lang w:val="ru-RU" w:eastAsia="zh-CN" w:bidi="hi-IN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 w:before="0" w:after="0"/>
      <w:ind w:left="720" w:right="720"/>
    </w:pPr>
    <w:rPr>
      <w:i/>
    </w:rPr>
  </w:style>
  <w:style w:type="paragraph" w:styleId="TOC1">
    <w:name w:val="TOC 1"/>
    <w:basedOn w:val="Normal"/>
    <w:uiPriority w:val="39"/>
    <w:unhideWhenUsed/>
    <w:pPr>
      <w:spacing w:before="0" w:after="57"/>
      <w:ind w:left="0" w:right="0" w:firstLine="0"/>
    </w:pPr>
  </w:style>
  <w:style w:type="paragraph" w:styleId="TOC2">
    <w:name w:val="TOC 2"/>
    <w:basedOn w:val="Normal"/>
    <w:uiPriority w:val="39"/>
    <w:unhideWhenUsed/>
    <w:pPr>
      <w:spacing w:before="0" w:after="57"/>
      <w:ind w:left="283" w:right="0" w:firstLine="0"/>
    </w:pPr>
  </w:style>
  <w:style w:type="paragraph" w:styleId="TOC3">
    <w:name w:val="TOC 3"/>
    <w:basedOn w:val="Normal"/>
    <w:uiPriority w:val="39"/>
    <w:unhideWhenUsed/>
    <w:pPr>
      <w:spacing w:before="0" w:after="57"/>
      <w:ind w:left="567" w:right="0" w:firstLine="0"/>
    </w:pPr>
  </w:style>
  <w:style w:type="paragraph" w:styleId="TOC4">
    <w:name w:val="TOC 4"/>
    <w:basedOn w:val="Normal"/>
    <w:uiPriority w:val="39"/>
    <w:unhideWhenUsed/>
    <w:pPr>
      <w:spacing w:before="0" w:after="57"/>
      <w:ind w:left="850" w:right="0" w:firstLine="0"/>
    </w:pPr>
  </w:style>
  <w:style w:type="paragraph" w:styleId="TOC5">
    <w:name w:val="TOC 5"/>
    <w:basedOn w:val="Normal"/>
    <w:uiPriority w:val="39"/>
    <w:unhideWhenUsed/>
    <w:pPr>
      <w:spacing w:before="0" w:after="57"/>
      <w:ind w:left="1134" w:right="0" w:firstLine="0"/>
    </w:pPr>
  </w:style>
  <w:style w:type="paragraph" w:styleId="TOC6">
    <w:name w:val="TOC 6"/>
    <w:basedOn w:val="Normal"/>
    <w:uiPriority w:val="39"/>
    <w:unhideWhenUsed/>
    <w:pPr>
      <w:spacing w:before="0" w:after="57"/>
      <w:ind w:left="1417" w:right="0" w:firstLine="0"/>
    </w:pPr>
  </w:style>
  <w:style w:type="paragraph" w:styleId="TOC7">
    <w:name w:val="TOC 7"/>
    <w:basedOn w:val="Normal"/>
    <w:uiPriority w:val="39"/>
    <w:unhideWhenUsed/>
    <w:pPr>
      <w:spacing w:before="0" w:after="57"/>
      <w:ind w:left="1701" w:right="0" w:firstLine="0"/>
    </w:pPr>
  </w:style>
  <w:style w:type="paragraph" w:styleId="TOC8">
    <w:name w:val="TOC 8"/>
    <w:basedOn w:val="Normal"/>
    <w:uiPriority w:val="39"/>
    <w:unhideWhenUsed/>
    <w:pPr>
      <w:spacing w:before="0" w:after="57"/>
      <w:ind w:left="1984" w:right="0" w:firstLine="0"/>
    </w:pPr>
  </w:style>
  <w:style w:type="paragraph" w:styleId="TOC9">
    <w:name w:val="TOC 9"/>
    <w:basedOn w:val="Normal"/>
    <w:uiPriority w:val="39"/>
    <w:unhideWhenUsed/>
    <w:pPr>
      <w:spacing w:before="0" w:after="57"/>
      <w:ind w:left="2268" w:right="0" w:firstLine="0"/>
    </w:pPr>
  </w:style>
  <w:style w:type="paragraph" w:styleId="IndexHeading">
    <w:name w:val="Index Heading"/>
    <w:basedOn w:val="Style15"/>
  </w:style>
  <w:style w:type="paragraph" w:styleId="TOCHeading">
    <w:name w:val="TOC Heading"/>
    <w:uiPriority w:val="39"/>
    <w:unhideWhenUsed/>
    <w:qFormat/>
    <w:pPr>
      <w:widowControl/>
      <w:spacing w:before="0" w:after="0"/>
      <w:jc w:val="left"/>
    </w:pPr>
    <w:rPr>
      <w:rFonts w:ascii="Times New Roman" w:hAnsi="Times New Roman" w:eastAsia="Droid Sans Fallback" w:cs="Lohit Devanagari"/>
      <w:color w:val="auto"/>
      <w:sz w:val="20"/>
      <w:szCs w:val="20"/>
      <w:lang w:val="ru-RU" w:eastAsia="zh-CN" w:bidi="hi-IN"/>
    </w:rPr>
  </w:style>
  <w:style w:type="paragraph" w:styleId="TableofFigures">
    <w:name w:val="Table of Figures"/>
    <w:basedOn w:val="Normal"/>
    <w:uiPriority w:val="99"/>
    <w:unhideWhenUsed/>
    <w:pPr>
      <w:spacing w:before="0" w:after="0" w:afterAutospacing="0"/>
    </w:p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Цитата"/>
    <w:basedOn w:val="Normal"/>
    <w:qFormat/>
    <w:pPr>
      <w:shd w:val="clear" w:color="auto" w:fill="ffffff"/>
      <w:spacing w:line="250" w:lineRule="exact"/>
      <w:ind w:left="5" w:right="14" w:firstLine="216"/>
    </w:pPr>
    <w:rPr>
      <w:color w:val="000000"/>
      <w:spacing w:val="-10"/>
      <w:sz w:val="24"/>
      <w:szCs w:val="24"/>
    </w:rPr>
  </w:style>
  <w:style w:type="paragraph" w:styleId="Style18">
    <w:name w:val="Текст"/>
    <w:basedOn w:val="Normal"/>
    <w:qFormat/>
    <w:pPr>
      <w:widowControl/>
    </w:pPr>
    <w:rPr>
      <w:rFonts w:ascii="Courier New" w:hAnsi="Courier New" w:cs="Courier New"/>
    </w:rPr>
  </w:style>
  <w:style w:type="paragraph" w:styleId="BodyTextIndent">
    <w:name w:val="Body Text Indent"/>
    <w:basedOn w:val="Normal"/>
    <w:pPr>
      <w:ind w:left="0" w:right="0" w:firstLine="720"/>
      <w:jc w:val="both"/>
    </w:pPr>
  </w:style>
  <w:style w:type="paragraph" w:styleId="3">
    <w:name w:val="Основной текст с отступом 3"/>
    <w:basedOn w:val="Normal"/>
    <w:qFormat/>
    <w:pPr>
      <w:widowControl/>
      <w:ind w:left="0" w:right="0" w:firstLine="284"/>
      <w:jc w:val="both"/>
    </w:pPr>
    <w:rPr>
      <w:sz w:val="22"/>
      <w:szCs w:val="22"/>
    </w:rPr>
  </w:style>
  <w:style w:type="paragraph" w:styleId="2">
    <w:name w:val="Основной текст 2"/>
    <w:basedOn w:val="Normal"/>
    <w:qFormat/>
    <w:pPr>
      <w:shd w:val="clear" w:color="auto" w:fill="ffffff"/>
      <w:spacing w:line="250" w:lineRule="exact"/>
      <w:ind w:left="0" w:right="2650" w:firstLine="0"/>
    </w:pPr>
    <w:rPr>
      <w:color w:val="000000"/>
      <w:spacing w:val="-14"/>
      <w:sz w:val="18"/>
      <w:szCs w:val="18"/>
    </w:rPr>
  </w:style>
  <w:style w:type="paragraph" w:styleId="Style19">
    <w:name w:val="Колонтитул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</w:style>
  <w:style w:type="paragraph" w:styleId="Footer">
    <w:name w:val="Footer"/>
    <w:basedOn w:val="Normal"/>
  </w:style>
  <w:style w:type="paragraph" w:styleId="31">
    <w:name w:val="Основной текст 3"/>
    <w:basedOn w:val="Normal"/>
    <w:qFormat/>
    <w:pPr>
      <w:shd w:val="clear" w:color="auto" w:fill="ffffff"/>
      <w:ind w:left="0" w:right="57" w:firstLine="0"/>
      <w:jc w:val="both"/>
    </w:pPr>
    <w:rPr>
      <w:color w:val="000000"/>
      <w:spacing w:val="-7"/>
      <w:sz w:val="22"/>
      <w:szCs w:val="22"/>
    </w:rPr>
  </w:style>
  <w:style w:type="paragraph" w:styleId="Header">
    <w:name w:val="Header"/>
    <w:basedOn w:val="Normal"/>
  </w:style>
  <w:style w:type="paragraph" w:styleId="311">
    <w:name w:val="Основной текст с отступом 31"/>
    <w:basedOn w:val="Normal"/>
    <w:qFormat/>
    <w:pPr>
      <w:widowControl/>
      <w:ind w:left="567" w:right="0" w:hanging="567"/>
      <w:jc w:val="both"/>
    </w:pPr>
    <w:rPr>
      <w:color w:val="000000"/>
      <w:sz w:val="24"/>
    </w:rPr>
  </w:style>
  <w:style w:type="paragraph" w:styleId="Style20">
    <w:name w:val="Текст выноски"/>
    <w:basedOn w:val="Normal"/>
    <w:qFormat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</w:style>
  <w:style w:type="paragraph" w:styleId="FootnoteText">
    <w:name w:val="Footnote Text"/>
    <w:basedOn w:val="Normal"/>
  </w:style>
  <w:style w:type="paragraph" w:styleId="Style21">
    <w:name w:val="Знак Знак Знак"/>
    <w:basedOn w:val="Normal"/>
    <w:qFormat/>
    <w:pPr>
      <w:widowControl/>
      <w:spacing w:before="0" w:after="160" w:line="240" w:lineRule="exact"/>
    </w:pPr>
    <w:rPr>
      <w:rFonts w:ascii="Verdana" w:hAnsi="Verdana" w:cs="Verdana"/>
      <w:lang w:val="en-US"/>
    </w:rPr>
  </w:style>
  <w:style w:type="paragraph" w:styleId="Style22">
    <w:name w:val="Текст примечания"/>
    <w:basedOn w:val="Normal"/>
    <w:qFormat/>
  </w:style>
  <w:style w:type="paragraph" w:styleId="Style23">
    <w:name w:val="Тема примечания"/>
    <w:basedOn w:val="Style22"/>
    <w:qFormat/>
    <w:rPr>
      <w:b/>
      <w:bCs/>
    </w:rPr>
  </w:style>
  <w:style w:type="paragraph" w:styleId="Style24">
    <w:name w:val="Абзац списка"/>
    <w:basedOn w:val="Normal"/>
    <w:qFormat/>
    <w:pPr>
      <w:spacing w:before="0" w:after="0"/>
      <w:ind w:left="720" w:right="0" w:firstLine="0"/>
      <w:contextualSpacing/>
    </w:pPr>
  </w:style>
  <w:style w:type="paragraph" w:styleId="Style25">
    <w:name w:val="Содержимое таблицы"/>
    <w:basedOn w:val="Normal"/>
    <w:qFormat/>
    <w:pPr>
      <w:widowControl w:val="off"/>
      <w:suppressLineNumbers/>
    </w:pPr>
  </w:style>
  <w:style w:type="paragraph" w:styleId="Style26">
    <w:name w:val="Заголовок таблицы"/>
    <w:basedOn w:val="Style25"/>
    <w:qFormat/>
    <w:pPr>
      <w:suppressLineNumbers/>
      <w:jc w:val="center"/>
    </w:pPr>
    <w:rPr>
      <w:b/>
      <w:bCs/>
    </w:rPr>
  </w:style>
  <w:style w:type="paragraph" w:styleId="21" w:customStyle="1">
    <w:name w:val="Основной текст 21"/>
    <w:qFormat/>
    <w:pPr>
      <w:keepNext w:val="0"/>
      <w:keepLines w:val="0"/>
      <w:pageBreakBefore w:val="0"/>
      <w:widowControl/>
      <w:shd w:val="nil"/>
      <w:spacing w:before="0" w:beforeAutospacing="0" w:after="0" w:afterAutospacing="0" w:line="240" w:lineRule="auto"/>
      <w:ind w:left="0" w:right="0" w:firstLine="0"/>
      <w:jc w:val="both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ff0000"/>
      <w:spacing w:val="0"/>
      <w:position w:val="0"/>
      <w:sz w:val="24"/>
      <w:szCs w:val="20"/>
      <w:u w:val="none"/>
      <w:vertAlign w:val="baseline"/>
      <w:lang w:val="ru-RU" w:eastAsia="ar-SA" w:bidi="ar-SA"/>
      <w14:ligatures w14:val="none"/>
    </w:rPr>
  </w:style>
  <w:style w:type="numbering" w:styleId="NoList" w:default="1">
    <w:name w:val="No List"/>
    <w:uiPriority w:val="99"/>
    <w:semiHidden/>
    <w:unhideWhenUsed/>
    <w:qFormat/>
  </w:style>
  <w:style w:type="table" w:styleId="798">
    <w:name w:val="Table Grid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9">
    <w:name w:val="Table Grid Light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0">
    <w:name w:val="Plain Table 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801">
    <w:name w:val="Plain Table 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802">
    <w:name w:val="Plain Table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b/>
        <w:caps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</w:tblStylePr>
    <w:tblStylePr w:type="lastRow">
      <w:rPr>
        <w:b/>
        <w:caps/>
      </w:rPr>
    </w:tblStylePr>
  </w:style>
  <w:style w:type="table" w:styleId="803">
    <w:name w:val="Plain Table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b/>
      </w:rPr>
    </w:tblStylePr>
    <w:tblStylePr w:type="firstRow">
      <w:rPr>
        <w:b/>
      </w:rPr>
    </w:tblStylePr>
    <w:tblStylePr w:type="lastCol">
      <w:rPr>
        <w:b/>
      </w:rPr>
    </w:tblStylePr>
    <w:tblStylePr w:type="lastRow">
      <w:rPr>
        <w:b/>
      </w:rPr>
    </w:tblStylePr>
  </w:style>
  <w:style w:type="table" w:styleId="804">
    <w:name w:val="Plain Table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i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05">
    <w:name w:val="Grid Table 1 Light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0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0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0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0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1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1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12">
    <w:name w:val="Grid Table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13">
    <w:name w:val="Grid Table 2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cPr>
        <w:shd w:val="clear" w:color="ffffff" w:fill="dae5f1" w:themeFill="accent1" w:themeFillTint="34"/>
      </w:tcPr>
    </w:tblStylePr>
    <w:tblStylePr w:type="band1Vert">
      <w:rPr>
        <w:sz w:val="22"/>
      </w:rPr>
      <w:tcPr>
        <w:shd w:val="clear" w:color="ffffff" w:fill="dae5f1" w:themeFill="accent1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14">
    <w:name w:val="Grid Table 2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cPr>
        <w:shd w:val="clear" w:color="ffffff" w:fill="f2dcdb" w:themeFill="accent2" w:themeFillTint="32"/>
      </w:tcPr>
    </w:tblStylePr>
    <w:tblStylePr w:type="band1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15">
    <w:name w:val="Grid Table 2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cPr>
        <w:shd w:val="clear" w:color="ffffff" w:fill="eaf0dd" w:themeFill="accent3" w:themeFillTint="34"/>
      </w:tcPr>
    </w:tblStylePr>
    <w:tblStylePr w:type="band1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16">
    <w:name w:val="Grid Table 2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cPr>
        <w:shd w:val="clear" w:color="ffffff" w:fill="e5dfec" w:themeFill="accent4" w:themeFillTint="34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17">
    <w:name w:val="Grid Table 2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cPr>
        <w:shd w:val="clear" w:color="ffffff" w:fill="daeef3" w:themeFill="accent5" w:themeFillTint="34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18">
    <w:name w:val="Grid Table 2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cPr>
        <w:shd w:val="clear" w:color="ffffff" w:fill="fde9d8" w:themeFill="accent6" w:themeFillTint="34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19">
    <w:name w:val="Grid Table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20">
    <w:name w:val="Grid Table 3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cPr>
        <w:shd w:val="clear" w:color="ffffff" w:fill="dae5f1" w:themeFill="accent1" w:themeFillTint="34"/>
      </w:tcPr>
    </w:tblStylePr>
    <w:tblStylePr w:type="band1Vert">
      <w:rPr>
        <w:sz w:val="22"/>
      </w:rPr>
      <w:tcPr>
        <w:shd w:val="clear" w:color="ffffff" w:fill="dae5f1" w:themeFill="accent1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21">
    <w:name w:val="Grid Table 3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cPr>
        <w:shd w:val="clear" w:color="ffffff" w:fill="f2dcdb" w:themeFill="accent2" w:themeFillTint="32"/>
      </w:tcPr>
    </w:tblStylePr>
    <w:tblStylePr w:type="band1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22">
    <w:name w:val="Grid Table 3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cPr>
        <w:shd w:val="clear" w:color="ffffff" w:fill="eaf0dd" w:themeFill="accent3" w:themeFillTint="34"/>
      </w:tcPr>
    </w:tblStylePr>
    <w:tblStylePr w:type="band1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23">
    <w:name w:val="Grid Table 3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cPr>
        <w:shd w:val="clear" w:color="ffffff" w:fill="e5dfec" w:themeFill="accent4" w:themeFillTint="34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24">
    <w:name w:val="Grid Table 3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cPr>
        <w:shd w:val="clear" w:color="ffffff" w:fill="daeef3" w:themeFill="accent5" w:themeFillTint="34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25">
    <w:name w:val="Grid Table 3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cPr>
        <w:shd w:val="clear" w:color="ffffff" w:fill="fde9d8" w:themeFill="accent6" w:themeFillTint="34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26">
    <w:name w:val="Grid Table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</w:tcBorders>
      </w:tcPr>
    </w:tblStylePr>
  </w:style>
  <w:style w:type="table" w:styleId="827">
    <w:name w:val="Grid Table 4 - Accent 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dce6f1" w:themeFill="accent1" w:themeFillTint="32"/>
      </w:tcPr>
    </w:tblStylePr>
    <w:tblStylePr w:type="band1Vert">
      <w:rPr>
        <w:sz w:val="22"/>
      </w:rPr>
      <w:tcPr>
        <w:shd w:val="clear" w:color="ffffff" w:fill="dce6f1" w:themeFill="accent1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1" w:sz="4" w:space="0"/>
        </w:tcBorders>
      </w:tcPr>
    </w:tblStylePr>
  </w:style>
  <w:style w:type="table" w:styleId="828">
    <w:name w:val="Grid Table 4 - Accent 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f2dcdb" w:themeFill="accent2" w:themeFillTint="32"/>
      </w:tcPr>
    </w:tblStylePr>
    <w:tblStylePr w:type="band1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2" w:sz="4" w:space="0"/>
        </w:tcBorders>
      </w:tcPr>
    </w:tblStylePr>
  </w:style>
  <w:style w:type="table" w:styleId="829">
    <w:name w:val="Grid Table 4 - Accent 3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af0dd" w:themeFill="accent3" w:themeFillTint="34"/>
      </w:tcPr>
    </w:tblStylePr>
    <w:tblStylePr w:type="band1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3" w:sz="4" w:space="0"/>
        </w:tcBorders>
      </w:tcPr>
    </w:tblStylePr>
  </w:style>
  <w:style w:type="table" w:styleId="830">
    <w:name w:val="Grid Table 4 - Accent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e5dfec" w:themeFill="accent4" w:themeFillTint="34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4" w:sz="4" w:space="0"/>
        </w:tcBorders>
      </w:tcPr>
    </w:tblStylePr>
  </w:style>
  <w:style w:type="table" w:styleId="831">
    <w:name w:val="Grid Table 4 - Accent 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daeef3" w:themeFill="accent5" w:themeFillTint="34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5" w:sz="4" w:space="0"/>
        </w:tcBorders>
      </w:tcPr>
    </w:tblStylePr>
  </w:style>
  <w:style w:type="table" w:styleId="832">
    <w:name w:val="Grid Table 4 - Accent 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fde9d8" w:themeFill="accent6" w:themeFillTint="34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6" w:sz="4" w:space="0"/>
        </w:tcBorders>
      </w:tcPr>
    </w:tblStylePr>
  </w:style>
  <w:style w:type="table" w:styleId="833">
    <w:name w:val="Grid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8a8a8a" w:themeFill="text1" w:themeFillTint="75"/>
      </w:tcPr>
    </w:tblStylePr>
    <w:tblStylePr w:type="band1Vert">
      <w:tcPr>
        <w:shd w:val="clear" w:color="ffffff" w:fill="8a8a8a" w:themeFill="text1" w:themeFillTint="75"/>
      </w:tcPr>
    </w:tblStylePr>
    <w:tblStylePr w:type="firstCol">
      <w:rPr>
        <w:b/>
        <w:sz w:val="22"/>
      </w:rPr>
      <w:tcPr>
        <w:shd w:val="clear" w:color="ffffff" w:fill="000000" w:themeFill="text1"/>
      </w:tc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  <w:sz w:val="22"/>
      </w:rPr>
      <w:tcPr>
        <w:shd w:val="clear" w:color="ffffff" w:fill="000000" w:themeFill="text1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3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dc5e0" w:themeFill="accent1" w:themeFillTint="75"/>
      </w:tcPr>
    </w:tblStylePr>
    <w:tblStylePr w:type="band1Vert">
      <w:tcPr>
        <w:shd w:val="clear" w:color="ffffff" w:fill="adc5e0" w:themeFill="accent1" w:themeFillTint="75"/>
      </w:tcPr>
    </w:tblStylePr>
    <w:tblStylePr w:type="firstCol">
      <w:rPr>
        <w:b/>
        <w:sz w:val="22"/>
      </w:rPr>
      <w:tcPr>
        <w:shd w:val="clear" w:color="ffffff" w:fill="4f81bd" w:themeFill="accent1"/>
      </w:tcPr>
    </w:tblStylePr>
    <w:tblStylePr w:type="firstRow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  <w:sz w:val="22"/>
      </w:rPr>
      <w:tcPr>
        <w:shd w:val="clear" w:color="ffffff" w:fill="4f81bd" w:themeFill="accent1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83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e1adac" w:themeFill="accent2" w:themeFillTint="75"/>
      </w:tcPr>
    </w:tblStylePr>
    <w:tblStylePr w:type="band1Vert">
      <w:tcPr>
        <w:shd w:val="clear" w:color="ffffff" w:fill="e1adac" w:themeFill="accent2" w:themeFillTint="75"/>
      </w:tcPr>
    </w:tblStylePr>
    <w:tblStylePr w:type="firstCol">
      <w:rPr>
        <w:b/>
        <w:sz w:val="22"/>
      </w:rPr>
      <w:tcPr>
        <w:shd w:val="clear" w:color="ffffff" w:fill="c0504d" w:themeFill="accent2"/>
      </w:tcPr>
    </w:tblStylePr>
    <w:tblStylePr w:type="firstRow">
      <w:rPr>
        <w:b/>
        <w:sz w:val="22"/>
      </w:rPr>
      <w:tcPr>
        <w:shd w:val="clear" w:color="ffffff" w:fill="c0504d" w:themeFill="accent2"/>
      </w:tcPr>
    </w:tblStylePr>
    <w:tblStylePr w:type="lastCol">
      <w:rPr>
        <w:b/>
        <w:sz w:val="22"/>
      </w:rPr>
      <w:tcPr>
        <w:shd w:val="clear" w:color="ffffff" w:fill="c0504d" w:themeFill="accent2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83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d1dfb2" w:themeFill="accent3" w:themeFillTint="75"/>
      </w:tcPr>
    </w:tblStylePr>
    <w:tblStylePr w:type="band1Vert">
      <w:tcPr>
        <w:shd w:val="clear" w:color="ffffff" w:fill="d1dfb2" w:themeFill="accent3" w:themeFillTint="75"/>
      </w:tcPr>
    </w:tblStylePr>
    <w:tblStylePr w:type="firstCol">
      <w:rPr>
        <w:b/>
        <w:sz w:val="22"/>
      </w:rPr>
      <w:tcPr>
        <w:shd w:val="clear" w:color="ffffff" w:fill="9bbb59" w:themeFill="accent3"/>
      </w:tcPr>
    </w:tblStylePr>
    <w:tblStylePr w:type="firstRow">
      <w:rPr>
        <w:b/>
        <w:sz w:val="22"/>
      </w:rPr>
      <w:tcPr>
        <w:shd w:val="clear" w:color="ffffff" w:fill="9bbb59" w:themeFill="accent3"/>
      </w:tcPr>
    </w:tblStylePr>
    <w:tblStylePr w:type="lastCol">
      <w:rPr>
        <w:b/>
        <w:sz w:val="22"/>
      </w:rPr>
      <w:tcPr>
        <w:shd w:val="clear" w:color="ffffff" w:fill="9bbb59" w:themeFill="accent3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83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c4b7d4" w:themeFill="accent4" w:themeFillTint="75"/>
      </w:tcPr>
    </w:tblStylePr>
    <w:tblStylePr w:type="band1Vert">
      <w:tcPr>
        <w:shd w:val="clear" w:color="ffffff" w:fill="c4b7d4" w:themeFill="accent4" w:themeFillTint="75"/>
      </w:tcPr>
    </w:tblStylePr>
    <w:tblStylePr w:type="firstCol">
      <w:rPr>
        <w:b/>
        <w:sz w:val="22"/>
      </w:rPr>
      <w:tcPr>
        <w:shd w:val="clear" w:color="ffffff" w:fill="8064a2" w:themeFill="accent4"/>
      </w:tcPr>
    </w:tblStylePr>
    <w:tblStylePr w:type="firstRow">
      <w:rPr>
        <w:b/>
        <w:sz w:val="22"/>
      </w:rPr>
      <w:tcPr>
        <w:shd w:val="clear" w:color="ffffff" w:fill="8064a2" w:themeFill="accent4"/>
      </w:tcPr>
    </w:tblStylePr>
    <w:tblStylePr w:type="lastCol">
      <w:rPr>
        <w:b/>
        <w:sz w:val="22"/>
      </w:rPr>
      <w:tcPr>
        <w:shd w:val="clear" w:color="ffffff" w:fill="8064a2" w:themeFill="accent4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83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bd9e4" w:themeFill="accent5" w:themeFillTint="75"/>
      </w:tcPr>
    </w:tblStylePr>
    <w:tblStylePr w:type="band1Vert">
      <w:tcPr>
        <w:shd w:val="clear" w:color="ffffff" w:fill="abd9e4" w:themeFill="accent5" w:themeFillTint="75"/>
      </w:tcPr>
    </w:tblStylePr>
    <w:tblStylePr w:type="firstCol">
      <w:rPr>
        <w:b/>
        <w:sz w:val="22"/>
      </w:rPr>
      <w:tcPr>
        <w:shd w:val="clear" w:color="ffffff" w:fill="4bacc6" w:themeFill="accent5"/>
      </w:tcPr>
    </w:tblStylePr>
    <w:tblStylePr w:type="firstRow">
      <w:rPr>
        <w:b/>
        <w:sz w:val="22"/>
      </w:rPr>
      <w:tcPr>
        <w:shd w:val="clear" w:color="ffffff" w:fill="4bacc6" w:themeFill="accent5"/>
      </w:tcPr>
    </w:tblStylePr>
    <w:tblStylePr w:type="lastCol">
      <w:rPr>
        <w:b/>
        <w:sz w:val="22"/>
      </w:rPr>
      <w:tcPr>
        <w:shd w:val="clear" w:color="ffffff" w:fill="4bacc6" w:themeFill="accent5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83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bcda8" w:themeFill="accent6" w:themeFillTint="75"/>
      </w:tcPr>
    </w:tblStylePr>
    <w:tblStylePr w:type="band1Vert">
      <w:tcPr>
        <w:shd w:val="clear" w:color="ffffff" w:fill="fbcda8" w:themeFill="accent6" w:themeFillTint="75"/>
      </w:tcPr>
    </w:tblStylePr>
    <w:tblStylePr w:type="firstCol">
      <w:rPr>
        <w:b/>
        <w:sz w:val="22"/>
      </w:rPr>
      <w:tcPr>
        <w:shd w:val="clear" w:color="ffffff" w:fill="f79646" w:themeFill="accent6"/>
      </w:tcPr>
    </w:tblStylePr>
    <w:tblStylePr w:type="firstRow">
      <w:rPr>
        <w:b/>
        <w:sz w:val="22"/>
      </w:rPr>
      <w:tcPr>
        <w:shd w:val="clear" w:color="ffffff" w:fill="f79646" w:themeFill="accent6"/>
      </w:tcPr>
    </w:tblStylePr>
    <w:tblStylePr w:type="lastCol">
      <w:rPr>
        <w:b/>
        <w:sz w:val="22"/>
      </w:rPr>
      <w:tcPr>
        <w:shd w:val="clear" w:color="ffffff" w:fill="f79646" w:themeFill="accent6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840">
    <w:name w:val="Grid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cPr>
        <w:shd w:val="clear" w:color="ffffff" w:fill="cbcbcb" w:themeFill="text1" w:themeFillTint="34"/>
      </w:tcPr>
    </w:tblStylePr>
    <w:tblStylePr w:type="band1Vert">
      <w:tcPr>
        <w:shd w:val="clear" w:color="ffffff" w:fill="cbcbcb" w:themeFill="text1" w:themeFillTint="34"/>
      </w:tcPr>
    </w:tblStylePr>
    <w:tblStylePr w:type="band2Horz">
      <w:rPr>
        <w:color w:themeColor="text1" w:themeTint="80" w:themeShade="95"/>
        <w:sz w:val="22"/>
      </w:rPr>
    </w:tblStylePr>
    <w:tblStylePr w:type="firstCol">
      <w:rPr>
        <w:b/>
        <w:color w:themeColor="text1" w:themeTint="80" w:themeShade="95"/>
      </w:rPr>
    </w:tblStylePr>
    <w:tblStylePr w:type="firstRow">
      <w:rPr>
        <w:b/>
        <w:color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themeColor="text1" w:themeTint="80" w:themeShade="95"/>
      </w:rPr>
    </w:tblStylePr>
    <w:tblStylePr w:type="lastRow">
      <w:rPr>
        <w:b/>
        <w:color w:themeColor="text1" w:themeTint="80" w:themeShade="95"/>
      </w:rPr>
    </w:tblStylePr>
    <w:tblStylePr w:type="wholeTable">
      <w:rPr>
        <w:color w:themeColor="text1" w:themeTint="80" w:themeShade="95"/>
        <w:sz w:val="22"/>
      </w:rPr>
    </w:tblStylePr>
  </w:style>
  <w:style w:type="table" w:styleId="84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themeColor="accent1" w:themeTint="80" w:themeShade="95"/>
        <w:sz w:val="22"/>
      </w:rPr>
    </w:tblStylePr>
    <w:tblStylePr w:type="firstCol">
      <w:rPr>
        <w:b/>
        <w:color w:themeColor="accent1" w:themeTint="80" w:themeShade="95"/>
      </w:rPr>
    </w:tblStylePr>
    <w:tblStylePr w:type="firstRow">
      <w:rPr>
        <w:b/>
        <w:color w:themeColor="accent1" w:themeTint="80" w:themeShade="95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themeColor="accent1" w:themeTint="80" w:themeShade="95"/>
      </w:rPr>
    </w:tblStylePr>
    <w:tblStylePr w:type="lastRow">
      <w:rPr>
        <w:b/>
        <w:color w:themeColor="accent1" w:themeTint="80" w:themeShade="95"/>
      </w:rPr>
    </w:tblStylePr>
    <w:tblStylePr w:type="wholeTable">
      <w:rPr>
        <w:color w:themeColor="accent1" w:themeTint="80" w:themeShade="95"/>
        <w:sz w:val="22"/>
      </w:rPr>
    </w:tblStylePr>
  </w:style>
  <w:style w:type="table" w:styleId="84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cPr>
        <w:shd w:val="clear" w:color="ffffff" w:fill="f2dcdb" w:themeFill="accent2" w:themeFillTint="32"/>
      </w:tcPr>
    </w:tblStylePr>
    <w:tblStylePr w:type="band1Vert">
      <w:tcPr>
        <w:shd w:val="clear" w:color="ffffff" w:fill="f2dcdb" w:themeFill="accent2" w:themeFillTint="32"/>
      </w:tcPr>
    </w:tblStylePr>
    <w:tblStylePr w:type="band2Horz">
      <w:rPr>
        <w:color w:themeColor="accent2" w:themeTint="97" w:themeShade="95"/>
        <w:sz w:val="22"/>
      </w:rPr>
    </w:tblStylePr>
    <w:tblStylePr w:type="firstCol">
      <w:rPr>
        <w:b/>
        <w:color w:themeColor="accent2" w:themeTint="97" w:themeShade="95"/>
      </w:rPr>
    </w:tblStylePr>
    <w:tblStylePr w:type="firstRow">
      <w:rPr>
        <w:b/>
        <w:color w:themeColor="accent2" w:themeTint="97" w:themeShade="95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themeColor="accent2" w:themeTint="97" w:themeShade="95"/>
      </w:rPr>
    </w:tblStylePr>
    <w:tblStylePr w:type="lastRow">
      <w:rPr>
        <w:b/>
        <w:color w:themeColor="accent2" w:themeTint="97" w:themeShade="95"/>
      </w:rPr>
    </w:tblStylePr>
    <w:tblStylePr w:type="wholeTable">
      <w:rPr>
        <w:color w:themeColor="accent2" w:themeTint="97" w:themeShade="95"/>
        <w:sz w:val="22"/>
      </w:rPr>
    </w:tblStylePr>
  </w:style>
  <w:style w:type="table" w:styleId="84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themeColor="accent3" w:themeTint="FE" w:themeShade="95"/>
        <w:sz w:val="22"/>
      </w:rPr>
      <w:tcPr>
        <w:shd w:val="clear" w:color="ffffff" w:fill="eaf0dd" w:themeFill="accent3" w:themeFillTint="34"/>
      </w:tcPr>
    </w:tblStylePr>
    <w:tblStylePr w:type="band1Vert">
      <w:tcPr>
        <w:shd w:val="clear" w:color="ffffff" w:fill="eaf0dd" w:themeFill="accent3" w:themeFillTint="34"/>
      </w:tcPr>
    </w:tblStylePr>
    <w:tblStylePr w:type="band2Horz">
      <w:rPr>
        <w:color w:themeColor="accent3" w:themeTint="FE" w:themeShade="95"/>
        <w:sz w:val="22"/>
      </w:rPr>
    </w:tblStylePr>
    <w:tblStylePr w:type="firstCol">
      <w:rPr>
        <w:b/>
        <w:color w:themeColor="accent3" w:themeTint="FE" w:themeShade="95"/>
      </w:rPr>
    </w:tblStylePr>
    <w:tblStylePr w:type="firstRow">
      <w:rPr>
        <w:b/>
        <w:color w:themeColor="accent3" w:themeTint="FE" w:themeShade="95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themeColor="accent3" w:themeTint="FE" w:themeShade="95"/>
      </w:rPr>
    </w:tblStylePr>
    <w:tblStylePr w:type="lastRow">
      <w:rPr>
        <w:b/>
        <w:color w:themeColor="accent3" w:themeTint="FE" w:themeShade="95"/>
      </w:rPr>
    </w:tblStylePr>
    <w:tblStylePr w:type="wholeTable">
      <w:rPr>
        <w:color w:themeColor="accent3" w:themeTint="FE" w:themeShade="95"/>
        <w:sz w:val="22"/>
      </w:rPr>
    </w:tblStylePr>
  </w:style>
  <w:style w:type="table" w:styleId="84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themeColor="accent4" w:themeTint="9A" w:themeShade="95"/>
        <w:sz w:val="22"/>
      </w:rPr>
    </w:tblStylePr>
    <w:tblStylePr w:type="firstCol">
      <w:rPr>
        <w:b/>
        <w:color w:themeColor="accent4" w:themeTint="9A" w:themeShade="95"/>
      </w:rPr>
    </w:tblStylePr>
    <w:tblStylePr w:type="firstRow">
      <w:rPr>
        <w:b/>
        <w:color w:themeColor="accent4" w:themeTint="9A" w:themeShade="95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themeColor="accent4" w:themeTint="9A" w:themeShade="95"/>
      </w:rPr>
    </w:tblStylePr>
    <w:tblStylePr w:type="lastRow">
      <w:rPr>
        <w:b/>
        <w:color w:themeColor="accent4" w:themeTint="9A" w:themeShade="95"/>
      </w:rPr>
    </w:tblStylePr>
    <w:tblStylePr w:type="wholeTable">
      <w:rPr>
        <w:color w:themeColor="accent4" w:themeTint="9A" w:themeShade="95"/>
        <w:sz w:val="22"/>
      </w:rPr>
    </w:tblStylePr>
  </w:style>
  <w:style w:type="table" w:styleId="84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themeColor="accent5" w:themeShade="95"/>
        <w:sz w:val="22"/>
      </w:rPr>
    </w:tblStylePr>
    <w:tblStylePr w:type="firstCol">
      <w:rPr>
        <w:b/>
        <w:color w:themeColor="accent5" w:themeShade="95"/>
      </w:rPr>
    </w:tblStylePr>
    <w:tblStylePr w:type="firstRow">
      <w:rPr>
        <w:b/>
        <w:color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themeColor="accent5" w:themeShade="95"/>
      </w:rPr>
    </w:tblStylePr>
    <w:tblStylePr w:type="lastRow">
      <w:rPr>
        <w:b/>
        <w:color w:themeColor="accent5" w:themeShade="95"/>
      </w:rPr>
    </w:tblStylePr>
    <w:tblStylePr w:type="wholeTable">
      <w:rPr>
        <w:color w:themeColor="accent5" w:themeShade="95"/>
        <w:sz w:val="22"/>
      </w:rPr>
    </w:tblStylePr>
  </w:style>
  <w:style w:type="table" w:styleId="84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themeColor="accent5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themeColor="accent5" w:themeShade="95"/>
        <w:sz w:val="22"/>
      </w:rPr>
    </w:tblStylePr>
    <w:tblStylePr w:type="firstCol">
      <w:rPr>
        <w:b/>
        <w:color w:themeColor="accent5" w:themeShade="95"/>
      </w:rPr>
    </w:tblStylePr>
    <w:tblStylePr w:type="firstRow">
      <w:rPr>
        <w:b/>
        <w:color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themeColor="accent5" w:themeShade="95"/>
      </w:rPr>
    </w:tblStylePr>
    <w:tblStylePr w:type="lastRow">
      <w:rPr>
        <w:b/>
        <w:color w:themeColor="accent5" w:themeShade="95"/>
      </w:rPr>
    </w:tblStylePr>
    <w:tblStylePr w:type="wholeTable">
      <w:rPr>
        <w:color w:themeColor="accent5" w:themeShade="95"/>
        <w:sz w:val="22"/>
      </w:rPr>
    </w:tblStylePr>
  </w:style>
  <w:style w:type="table" w:styleId="847">
    <w:name w:val="Grid Table 7 Colorfu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band2Horz">
      <w:rPr>
        <w:color w:themeColor="text1" w:themeTint="80" w:themeShade="95"/>
        <w:sz w:val="22"/>
      </w:rPr>
    </w:tblStylePr>
    <w:tblStylePr w:type="firstCol">
      <w:rPr>
        <w:i/>
        <w:color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b/>
        <w:color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text1" w:themeTint="80" w:themeShade="95"/>
        <w:sz w:val="22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4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themeColor="accent1" w:themeTint="80" w:themeShade="95"/>
        <w:sz w:val="22"/>
      </w:rPr>
    </w:tblStylePr>
    <w:tblStylePr w:type="firstCol">
      <w:rPr>
        <w:i/>
        <w:color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b/>
        <w:color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1" w:themeTint="80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4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cPr>
        <w:shd w:val="clear" w:color="ffffff" w:fill="f2dcdb" w:themeFill="accent2" w:themeFillTint="32"/>
      </w:tcPr>
    </w:tblStylePr>
    <w:tblStylePr w:type="band1Vert">
      <w:tcPr>
        <w:shd w:val="clear" w:color="ffffff" w:fill="f2dcdb" w:themeFill="accent2" w:themeFillTint="32"/>
      </w:tcPr>
    </w:tblStylePr>
    <w:tblStylePr w:type="band2Horz">
      <w:rPr>
        <w:color w:themeColor="accent2" w:themeTint="97" w:themeShade="95"/>
        <w:sz w:val="22"/>
      </w:rPr>
    </w:tblStylePr>
    <w:tblStylePr w:type="firstCol">
      <w:rPr>
        <w:i/>
        <w:color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b/>
        <w:color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2" w:themeTint="97" w:themeShade="95"/>
        <w:sz w:val="22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5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themeColor="accent3" w:themeTint="FE" w:themeShade="95"/>
        <w:sz w:val="22"/>
      </w:rPr>
      <w:tcPr>
        <w:shd w:val="clear" w:color="ffffff" w:fill="eaf0dd" w:themeFill="accent3" w:themeFillTint="34"/>
      </w:tcPr>
    </w:tblStylePr>
    <w:tblStylePr w:type="band1Vert">
      <w:tcPr>
        <w:shd w:val="clear" w:color="ffffff" w:fill="eaf0dd" w:themeFill="accent3" w:themeFillTint="34"/>
      </w:tcPr>
    </w:tblStylePr>
    <w:tblStylePr w:type="band2Horz">
      <w:rPr>
        <w:color w:themeColor="accent3" w:themeTint="FE" w:themeShade="95"/>
        <w:sz w:val="22"/>
      </w:rPr>
    </w:tblStylePr>
    <w:tblStylePr w:type="firstCol">
      <w:rPr>
        <w:i/>
        <w:color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b/>
        <w:color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3" w:themeTint="FE" w:themeShade="95"/>
        <w:sz w:val="22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5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themeColor="accent4" w:themeTint="9A" w:themeShade="95"/>
        <w:sz w:val="22"/>
      </w:rPr>
    </w:tblStylePr>
    <w:tblStylePr w:type="firstCol">
      <w:rPr>
        <w:i/>
        <w:color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b/>
        <w:color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4" w:themeTint="9A" w:themeShade="95"/>
        <w:sz w:val="22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5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themeColor="accent5" w:themeShade="95"/>
        <w:sz w:val="22"/>
      </w:rPr>
    </w:tblStylePr>
    <w:tblStylePr w:type="firstCol">
      <w:rPr>
        <w:i/>
        <w:color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b/>
        <w:color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5" w:themeShade="95"/>
        <w:sz w:val="22"/>
      </w:rPr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5" w:themeShade="95"/>
        <w:sz w:val="22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5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themeColor="accent6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themeColor="accent6" w:themeShade="95"/>
        <w:sz w:val="22"/>
      </w:rPr>
    </w:tblStylePr>
    <w:tblStylePr w:type="firstCol">
      <w:rPr>
        <w:i/>
        <w:color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b/>
        <w:color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6" w:themeShade="95"/>
        <w:sz w:val="22"/>
      </w:rPr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6" w:themeShade="95"/>
        <w:sz w:val="22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54">
    <w:name w:val="List Table 1 Light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List Table 1 Light - Accent 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List Table 1 Light - Accent 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List Table 1 Light - Accent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List Table 1 Light - Accent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List Table 1 Light - Accent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List Table 1 Light - Accent 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List Table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sz w:val="22"/>
      </w:rPr>
      <w:tcPr>
        <w:shd w:val="clear" w:color="ffffff" w:fill="bfbfbf" w:themeFill="text1" w:themeFillTint="40"/>
      </w:tc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862">
    <w:name w:val="List Table 2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d3e0ee" w:themeFill="accent1" w:themeFillTint="40"/>
      </w:tcPr>
    </w:tblStylePr>
    <w:tblStylePr w:type="band1Vert">
      <w:rPr>
        <w:sz w:val="22"/>
      </w:rPr>
      <w:tcPr>
        <w:shd w:val="clear" w:color="ffffff" w:fill="d3e0ee" w:themeFill="accen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863">
    <w:name w:val="List Table 2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efd3d2" w:themeFill="accent2" w:themeFillTint="40"/>
      </w:tcPr>
    </w:tblStylePr>
    <w:tblStylePr w:type="band1Vert">
      <w:rPr>
        <w:sz w:val="22"/>
      </w:rPr>
      <w:tcPr>
        <w:shd w:val="clear" w:color="ffffff" w:fill="efd3d2" w:themeFill="accent2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864">
    <w:name w:val="List Table 2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6eed5" w:themeFill="accent3" w:themeFillTint="40"/>
      </w:tcPr>
    </w:tblStylePr>
    <w:tblStylePr w:type="band1Vert">
      <w:rPr>
        <w:sz w:val="22"/>
      </w:rPr>
      <w:tcPr>
        <w:shd w:val="clear" w:color="ffffff" w:fill="e6eed5" w:themeFill="accent3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865">
    <w:name w:val="List Table 2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dfd8e7" w:themeFill="accent4" w:themeFillTint="40"/>
      </w:tcPr>
    </w:tblStylePr>
    <w:tblStylePr w:type="band1Vert">
      <w:rPr>
        <w:sz w:val="22"/>
      </w:rPr>
      <w:tcPr>
        <w:shd w:val="clear" w:color="ffffff" w:fill="dfd8e7" w:themeFill="accent4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866">
    <w:name w:val="List Table 2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d1eaf0" w:themeFill="accent5" w:themeFillTint="40"/>
      </w:tcPr>
    </w:tblStylePr>
    <w:tblStylePr w:type="band1Vert">
      <w:rPr>
        <w:sz w:val="22"/>
      </w:rPr>
      <w:tcPr>
        <w:shd w:val="clear" w:color="ffffff" w:fill="d1eaf0" w:themeFill="accent5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867">
    <w:name w:val="List Table 2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fce4d1" w:themeFill="accent6" w:themeFillTint="40"/>
      </w:tcPr>
    </w:tblStylePr>
    <w:tblStylePr w:type="band1Vert">
      <w:rPr>
        <w:sz w:val="22"/>
      </w:rPr>
      <w:tcPr>
        <w:shd w:val="clear" w:color="ffffff" w:fill="fce4d1" w:themeFill="accent6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868">
    <w:name w:val="List Table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9">
    <w:name w:val="List Table 3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0">
    <w:name w:val="List Table 3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d99694" w:themeFill="accent2" w:themeFillTint="97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1">
    <w:name w:val="List Table 3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c3d69b" w:themeFill="accent3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2">
    <w:name w:val="List Table 3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b2a1c6" w:themeFill="accent4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3">
    <w:name w:val="List Table 3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91cddc" w:themeFill="accent5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4">
    <w:name w:val="List Table 3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9bf90" w:themeFill="accent6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5">
    <w:name w:val="List Table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sz w:val="22"/>
      </w:rPr>
      <w:tcPr>
        <w:shd w:val="clear" w:color="ffffff" w:fill="bfbfbf" w:themeFill="text1" w:themeFillTint="40"/>
      </w:tc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6">
    <w:name w:val="List Table 4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d3e0ee" w:themeFill="accent1" w:themeFillTint="40"/>
      </w:tcPr>
    </w:tblStylePr>
    <w:tblStylePr w:type="band1Vert">
      <w:rPr>
        <w:sz w:val="22"/>
      </w:rPr>
      <w:tcPr>
        <w:shd w:val="clear" w:color="ffffff" w:fill="d3e0ee" w:themeFill="accen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7">
    <w:name w:val="List Table 4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efd3d2" w:themeFill="accent2" w:themeFillTint="40"/>
      </w:tcPr>
    </w:tblStylePr>
    <w:tblStylePr w:type="band1Vert">
      <w:rPr>
        <w:sz w:val="22"/>
      </w:rPr>
      <w:tcPr>
        <w:shd w:val="clear" w:color="ffffff" w:fill="efd3d2" w:themeFill="accent2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c0504d" w:themeFill="accent2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8">
    <w:name w:val="List Table 4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6eed5" w:themeFill="accent3" w:themeFillTint="40"/>
      </w:tcPr>
    </w:tblStylePr>
    <w:tblStylePr w:type="band1Vert">
      <w:rPr>
        <w:sz w:val="22"/>
      </w:rPr>
      <w:tcPr>
        <w:shd w:val="clear" w:color="ffffff" w:fill="e6eed5" w:themeFill="accent3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9bbb59" w:themeFill="accent3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9">
    <w:name w:val="List Table 4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dfd8e7" w:themeFill="accent4" w:themeFillTint="40"/>
      </w:tcPr>
    </w:tblStylePr>
    <w:tblStylePr w:type="band1Vert">
      <w:rPr>
        <w:sz w:val="22"/>
      </w:rPr>
      <w:tcPr>
        <w:shd w:val="clear" w:color="ffffff" w:fill="dfd8e7" w:themeFill="accent4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8064a2" w:themeFill="accent4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80">
    <w:name w:val="List Table 4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d1eaf0" w:themeFill="accent5" w:themeFillTint="40"/>
      </w:tcPr>
    </w:tblStylePr>
    <w:tblStylePr w:type="band1Vert">
      <w:rPr>
        <w:sz w:val="22"/>
      </w:rPr>
      <w:tcPr>
        <w:shd w:val="clear" w:color="ffffff" w:fill="d1eaf0" w:themeFill="accent5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bacc6" w:themeFill="accent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81">
    <w:name w:val="List Table 4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fce4d1" w:themeFill="accent6" w:themeFillTint="40"/>
      </w:tcPr>
    </w:tblStylePr>
    <w:tblStylePr w:type="band1Vert">
      <w:rPr>
        <w:sz w:val="22"/>
      </w:rPr>
      <w:tcPr>
        <w:shd w:val="clear" w:color="ffffff" w:fill="fce4d1" w:themeFill="accent6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79646" w:themeFill="accent6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82">
    <w:name w:val="List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themeColor="light1"/>
        <w:sz w:val="22"/>
      </w:rPr>
    </w:tblStylePr>
    <w:tblStylePr w:type="wholeTable">
      <w:rPr>
        <w:color w:themeColor="light1"/>
        <w:sz w:val="22"/>
      </w:rPr>
    </w:tblStylePr>
  </w:style>
  <w:style w:type="table" w:styleId="88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themeColor="light1"/>
        <w:sz w:val="22"/>
      </w:rPr>
    </w:tblStylePr>
    <w:tblStylePr w:type="wholeTable">
      <w:rPr>
        <w:color w:themeColor="light1"/>
        <w:sz w:val="22"/>
      </w:rPr>
    </w:tblStylePr>
  </w:style>
  <w:style w:type="table" w:styleId="88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themeColor="light1"/>
        <w:sz w:val="22"/>
      </w:rPr>
    </w:tblStylePr>
    <w:tblStylePr w:type="wholeTable">
      <w:rPr>
        <w:color w:themeColor="light1"/>
        <w:sz w:val="22"/>
      </w:rPr>
    </w:tblStylePr>
  </w:style>
  <w:style w:type="table" w:styleId="88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themeColor="light1"/>
        <w:sz w:val="22"/>
      </w:rPr>
    </w:tblStylePr>
    <w:tblStylePr w:type="wholeTable">
      <w:rPr>
        <w:color w:themeColor="light1"/>
        <w:sz w:val="22"/>
      </w:rPr>
    </w:tblStylePr>
  </w:style>
  <w:style w:type="table" w:styleId="88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themeColor="light1"/>
        <w:sz w:val="22"/>
      </w:rPr>
    </w:tblStylePr>
    <w:tblStylePr w:type="wholeTable">
      <w:rPr>
        <w:color w:themeColor="light1"/>
        <w:sz w:val="22"/>
      </w:rPr>
    </w:tblStylePr>
  </w:style>
  <w:style w:type="table" w:styleId="88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themeColor="light1"/>
        <w:sz w:val="22"/>
      </w:rPr>
    </w:tblStylePr>
    <w:tblStylePr w:type="wholeTable">
      <w:rPr>
        <w:color w:themeColor="light1"/>
        <w:sz w:val="22"/>
      </w:rPr>
    </w:tblStylePr>
  </w:style>
  <w:style w:type="table" w:styleId="88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themeColor="light1"/>
        <w:sz w:val="22"/>
      </w:rPr>
    </w:tblStylePr>
    <w:tblStylePr w:type="wholeTable">
      <w:rPr>
        <w:color w:themeColor="light1"/>
        <w:sz w:val="22"/>
      </w:rPr>
    </w:tblStylePr>
  </w:style>
  <w:style w:type="table" w:styleId="889">
    <w:name w:val="List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themeColor="text1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themeColor="text1"/>
        <w:sz w:val="22"/>
      </w:rPr>
    </w:tblStylePr>
    <w:tblStylePr w:type="firstCol">
      <w:rPr>
        <w:b/>
        <w:color w:themeColor="text1"/>
      </w:rPr>
    </w:tblStylePr>
    <w:tblStylePr w:type="firstRow">
      <w:rPr>
        <w:b/>
        <w:color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themeColor="text1"/>
      </w:rPr>
    </w:tblStylePr>
    <w:tblStylePr w:type="lastRow">
      <w:rPr>
        <w:b/>
        <w:color w:themeColor="text1"/>
      </w:rPr>
      <w:tcPr>
        <w:tcBorders>
          <w:top w:val="single" w:color="000000" w:themeColor="text1" w:sz="4" w:space="0"/>
        </w:tcBorders>
      </w:tcPr>
    </w:tblStylePr>
  </w:style>
  <w:style w:type="table" w:styleId="89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themeColor="accent1" w:themeShade="95"/>
        <w:sz w:val="22"/>
      </w:rPr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band2Horz">
      <w:rPr>
        <w:color w:themeColor="accent1" w:themeShade="95"/>
        <w:sz w:val="22"/>
      </w:rPr>
    </w:tblStylePr>
    <w:tblStylePr w:type="firstCol">
      <w:rPr>
        <w:b/>
        <w:color w:themeColor="accent1" w:themeShade="95"/>
      </w:rPr>
    </w:tblStylePr>
    <w:tblStylePr w:type="firstRow">
      <w:rPr>
        <w:b/>
        <w:color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themeColor="accent1" w:themeShade="95"/>
      </w:rPr>
    </w:tblStylePr>
    <w:tblStylePr w:type="lastRow">
      <w:rPr>
        <w:b/>
        <w:color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9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band2Horz">
      <w:rPr>
        <w:color w:themeColor="accent2" w:themeTint="97" w:themeShade="95"/>
        <w:sz w:val="22"/>
      </w:rPr>
    </w:tblStylePr>
    <w:tblStylePr w:type="firstCol">
      <w:rPr>
        <w:b/>
        <w:color w:themeColor="accent2" w:themeTint="97" w:themeShade="95"/>
      </w:rPr>
    </w:tblStylePr>
    <w:tblStylePr w:type="firstRow">
      <w:rPr>
        <w:b/>
        <w:color w:themeColor="accent2" w:themeTint="97" w:themeShade="95"/>
      </w:r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themeColor="accent2" w:themeTint="97" w:themeShade="95"/>
      </w:rPr>
    </w:tblStylePr>
    <w:tblStylePr w:type="lastRow">
      <w:rPr>
        <w:b/>
        <w:color w:themeColor="accent2" w:themeTint="97" w:themeShade="95"/>
      </w:rPr>
      <w:tcPr>
        <w:tcBorders>
          <w:top w:val="single" w:color="000000" w:themeColor="accent2" w:sz="4" w:space="0"/>
        </w:tcBorders>
      </w:tcPr>
    </w:tblStylePr>
  </w:style>
  <w:style w:type="table" w:styleId="89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themeColor="accent3" w:themeTint="98" w:themeShade="95"/>
        <w:sz w:val="22"/>
      </w:rPr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band2Horz">
      <w:rPr>
        <w:color w:themeColor="accent3" w:themeTint="98" w:themeShade="95"/>
        <w:sz w:val="22"/>
      </w:rPr>
    </w:tblStylePr>
    <w:tblStylePr w:type="firstCol">
      <w:rPr>
        <w:b/>
        <w:color w:themeColor="accent3" w:themeTint="98" w:themeShade="95"/>
      </w:rPr>
    </w:tblStylePr>
    <w:tblStylePr w:type="firstRow">
      <w:rPr>
        <w:b/>
        <w:color w:themeColor="accent3" w:themeTint="98" w:themeShade="95"/>
      </w:r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themeColor="accent3" w:themeTint="98" w:themeShade="95"/>
      </w:rPr>
    </w:tblStylePr>
    <w:tblStylePr w:type="lastRow">
      <w:rPr>
        <w:b/>
        <w:color w:themeColor="accent3" w:themeTint="98" w:themeShade="95"/>
      </w:rPr>
      <w:tcPr>
        <w:tcBorders>
          <w:top w:val="single" w:color="000000" w:themeColor="accent3" w:sz="4" w:space="0"/>
        </w:tcBorders>
      </w:tcPr>
    </w:tblStylePr>
  </w:style>
  <w:style w:type="table" w:styleId="89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themeColor="accent4" w:themeTint="9A" w:themeShade="95"/>
        <w:sz w:val="22"/>
      </w:rPr>
    </w:tblStylePr>
    <w:tblStylePr w:type="firstCol">
      <w:rPr>
        <w:b/>
        <w:color w:themeColor="accent4" w:themeTint="9A" w:themeShade="95"/>
      </w:rPr>
    </w:tblStylePr>
    <w:tblStylePr w:type="firstRow">
      <w:rPr>
        <w:b/>
        <w:color w:themeColor="accent4" w:themeTint="9A" w:themeShade="95"/>
      </w:r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themeColor="accent4" w:themeTint="9A" w:themeShade="95"/>
      </w:rPr>
    </w:tblStylePr>
    <w:tblStylePr w:type="lastRow">
      <w:rPr>
        <w:b/>
        <w:color w:themeColor="accent4" w:themeTint="9A" w:themeShade="95"/>
      </w:rPr>
      <w:tcPr>
        <w:tcBorders>
          <w:top w:val="single" w:color="000000" w:themeColor="accent4" w:sz="4" w:space="0"/>
        </w:tcBorders>
      </w:tcPr>
    </w:tblStylePr>
  </w:style>
  <w:style w:type="table" w:styleId="89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themeColor="accent5" w:themeTint="9A" w:themeShade="95"/>
        <w:sz w:val="22"/>
      </w:rPr>
    </w:tblStylePr>
    <w:tblStylePr w:type="firstCol">
      <w:rPr>
        <w:b/>
        <w:color w:themeColor="accent5" w:themeTint="9A" w:themeShade="95"/>
      </w:rPr>
    </w:tblStylePr>
    <w:tblStylePr w:type="firstRow">
      <w:rPr>
        <w:b/>
        <w:color w:themeColor="accent5" w:themeTint="9A" w:themeShade="95"/>
      </w:r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themeColor="accent5" w:themeTint="9A" w:themeShade="95"/>
      </w:rPr>
    </w:tblStylePr>
    <w:tblStylePr w:type="lastRow">
      <w:rPr>
        <w:b/>
        <w:color w:themeColor="accent5" w:themeTint="9A" w:themeShade="95"/>
      </w:rPr>
      <w:tcPr>
        <w:tcBorders>
          <w:top w:val="single" w:color="000000" w:themeColor="accent5" w:sz="4" w:space="0"/>
        </w:tcBorders>
      </w:tcPr>
    </w:tblStylePr>
  </w:style>
  <w:style w:type="table" w:styleId="89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themeColor="accent6" w:themeTint="98" w:themeShade="95"/>
        <w:sz w:val="22"/>
      </w:rPr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band2Horz">
      <w:rPr>
        <w:color w:themeColor="accent6" w:themeTint="98" w:themeShade="95"/>
        <w:sz w:val="22"/>
      </w:rPr>
    </w:tblStylePr>
    <w:tblStylePr w:type="firstCol">
      <w:rPr>
        <w:b/>
        <w:color w:themeColor="accent6" w:themeTint="98" w:themeShade="95"/>
      </w:rPr>
    </w:tblStylePr>
    <w:tblStylePr w:type="firstRow">
      <w:rPr>
        <w:b/>
        <w:color w:themeColor="accent6" w:themeTint="98" w:themeShade="95"/>
      </w:r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themeColor="accent6" w:themeTint="98" w:themeShade="95"/>
      </w:rPr>
    </w:tblStylePr>
    <w:tblStylePr w:type="lastRow">
      <w:rPr>
        <w:b/>
        <w:color w:themeColor="accent6" w:themeTint="98" w:themeShade="95"/>
      </w:rPr>
      <w:tcPr>
        <w:tcBorders>
          <w:top w:val="single" w:color="000000" w:themeColor="accent6" w:sz="4" w:space="0"/>
        </w:tcBorders>
      </w:tcPr>
    </w:tblStylePr>
  </w:style>
  <w:style w:type="table" w:styleId="896">
    <w:name w:val="List Table 7 Colorful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themeColor="text1" w:themeTint="80" w:themeShade="95"/>
        <w:sz w:val="22"/>
      </w:rPr>
    </w:tblStylePr>
    <w:tblStylePr w:type="firstCol">
      <w:rPr>
        <w:i/>
        <w:color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i/>
        <w:color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text1" w:themeTint="80" w:themeShade="95"/>
        <w:sz w:val="22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themeColor="text1" w:themeTint="80" w:themeShade="95"/>
        <w:sz w:val="22"/>
      </w:rPr>
    </w:tblStylePr>
  </w:style>
  <w:style w:type="table" w:styleId="89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themeColor="accent1" w:themeShade="95"/>
        <w:sz w:val="22"/>
      </w:rPr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band2Horz">
      <w:rPr>
        <w:color w:themeColor="accent1" w:themeShade="95"/>
        <w:sz w:val="22"/>
      </w:rPr>
    </w:tblStylePr>
    <w:tblStylePr w:type="firstCol">
      <w:rPr>
        <w:i/>
        <w:color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i/>
        <w:color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themeColor="accent1" w:themeShade="95"/>
        <w:sz w:val="22"/>
      </w:rPr>
    </w:tblStylePr>
  </w:style>
  <w:style w:type="table" w:styleId="89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band2Horz">
      <w:rPr>
        <w:color w:themeColor="accent2" w:themeTint="97" w:themeShade="95"/>
        <w:sz w:val="22"/>
      </w:rPr>
    </w:tblStylePr>
    <w:tblStylePr w:type="firstCol">
      <w:rPr>
        <w:i/>
        <w:color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i/>
        <w:color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2" w:themeTint="97" w:themeShade="95"/>
        <w:sz w:val="22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themeColor="accent2" w:themeTint="97" w:themeShade="95"/>
        <w:sz w:val="22"/>
      </w:rPr>
    </w:tblStylePr>
  </w:style>
  <w:style w:type="table" w:styleId="89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themeColor="accent3" w:themeTint="98" w:themeShade="95"/>
        <w:sz w:val="22"/>
      </w:rPr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band2Horz">
      <w:rPr>
        <w:color w:themeColor="accent3" w:themeTint="98" w:themeShade="95"/>
        <w:sz w:val="22"/>
      </w:rPr>
    </w:tblStylePr>
    <w:tblStylePr w:type="firstCol">
      <w:rPr>
        <w:i/>
        <w:color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i/>
        <w:color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3" w:themeTint="98" w:themeShade="95"/>
        <w:sz w:val="22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themeColor="accent3" w:themeTint="98" w:themeShade="95"/>
        <w:sz w:val="22"/>
      </w:rPr>
    </w:tblStylePr>
  </w:style>
  <w:style w:type="table" w:styleId="90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themeColor="accent4" w:themeTint="9A" w:themeShade="95"/>
        <w:sz w:val="22"/>
      </w:rPr>
    </w:tblStylePr>
    <w:tblStylePr w:type="firstCol">
      <w:rPr>
        <w:i/>
        <w:color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i/>
        <w:color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4" w:themeTint="9A" w:themeShade="95"/>
        <w:sz w:val="22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themeColor="accent4" w:themeTint="9A" w:themeShade="95"/>
        <w:sz w:val="22"/>
      </w:rPr>
    </w:tblStylePr>
  </w:style>
  <w:style w:type="table" w:styleId="90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themeColor="accent5" w:themeTint="9A" w:themeShade="95"/>
        <w:sz w:val="22"/>
      </w:rPr>
    </w:tblStylePr>
    <w:tblStylePr w:type="firstCol">
      <w:rPr>
        <w:i/>
        <w:color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i/>
        <w:color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5" w:themeTint="9A" w:themeShade="95"/>
        <w:sz w:val="22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themeColor="accent5" w:themeTint="9A" w:themeShade="95"/>
        <w:sz w:val="22"/>
      </w:rPr>
    </w:tblStylePr>
  </w:style>
  <w:style w:type="table" w:styleId="90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themeColor="accent6" w:themeTint="98" w:themeShade="95"/>
        <w:sz w:val="22"/>
      </w:rPr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band2Horz">
      <w:rPr>
        <w:color w:themeColor="accent6" w:themeTint="98" w:themeShade="95"/>
        <w:sz w:val="22"/>
      </w:rPr>
    </w:tblStylePr>
    <w:tblStylePr w:type="firstCol">
      <w:rPr>
        <w:i/>
        <w:color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i/>
        <w:color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6" w:themeTint="98" w:themeShade="95"/>
        <w:sz w:val="22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themeColor="accent6" w:themeTint="98" w:themeShade="95"/>
        <w:sz w:val="22"/>
      </w:rPr>
    </w:tblStylePr>
  </w:style>
  <w:style w:type="table" w:styleId="903">
    <w:name w:val="Lined - Accent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f2f2" w:themeFill="text1" w:themeFillTint="00"/>
      </w:tcPr>
    </w:tblStylePr>
    <w:tblStylePr w:type="band2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</w:style>
  <w:style w:type="table" w:styleId="904">
    <w:name w:val="Lined - Accent 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7d7ea" w:themeFill="accent1" w:themeFillTint="50"/>
      </w:tcPr>
    </w:tblStylePr>
    <w:tblStylePr w:type="band2Vert">
      <w:rPr>
        <w:sz w:val="22"/>
      </w:rPr>
      <w:tcPr>
        <w:shd w:val="clear" w:color="ffffff" w:fill="c7d7ea" w:themeFill="accent1" w:themeFillTint="50"/>
      </w:tcPr>
    </w:tblStylePr>
    <w:tblStylePr w:type="firstCol">
      <w:rPr>
        <w:sz w:val="22"/>
      </w:rPr>
      <w:tcPr>
        <w:shd w:val="clear" w:color="ffffff" w:fill="5d8dc2" w:themeFill="accent1" w:themeFillTint="EA"/>
      </w:tcPr>
    </w:tblStylePr>
    <w:tblStylePr w:type="firstRow">
      <w:rPr>
        <w:sz w:val="22"/>
      </w:rPr>
      <w:tcPr>
        <w:shd w:val="clear" w:color="ffffff" w:fill="5d8dc2" w:themeFill="accent1" w:themeFillTint="EA"/>
      </w:tcPr>
    </w:tblStylePr>
    <w:tblStylePr w:type="lastCol">
      <w:rPr>
        <w:sz w:val="22"/>
      </w:rPr>
      <w:tcPr>
        <w:shd w:val="clear" w:color="ffffff" w:fill="5d8dc2" w:themeFill="accent1" w:themeFillTint="EA"/>
      </w:tcPr>
    </w:tblStylePr>
    <w:tblStylePr w:type="lastRow">
      <w:rPr>
        <w:sz w:val="22"/>
      </w:rPr>
      <w:tcPr>
        <w:shd w:val="clear" w:color="ffffff" w:fill="5d8dc2" w:themeFill="accent1" w:themeFillTint="EA"/>
      </w:tcPr>
    </w:tblStylePr>
  </w:style>
  <w:style w:type="table" w:styleId="905">
    <w:name w:val="Lined - Accent 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dcdb" w:themeFill="accent2" w:themeFillTint="32"/>
      </w:tcPr>
    </w:tblStylePr>
    <w:tblStylePr w:type="band2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sz w:val="22"/>
      </w:rPr>
      <w:tcPr>
        <w:shd w:val="clear" w:color="ffffff" w:fill="d99694" w:themeFill="accent2" w:themeFillTint="97"/>
      </w:tcPr>
    </w:tblStylePr>
    <w:tblStylePr w:type="firstRow">
      <w:rPr>
        <w:sz w:val="22"/>
      </w:rPr>
      <w:tcPr>
        <w:shd w:val="clear" w:color="ffffff" w:fill="d99694" w:themeFill="accent2" w:themeFillTint="97"/>
      </w:tcPr>
    </w:tblStylePr>
    <w:tblStylePr w:type="lastCol">
      <w:rPr>
        <w:sz w:val="22"/>
      </w:rPr>
      <w:tcPr>
        <w:shd w:val="clear" w:color="ffffff" w:fill="d99694" w:themeFill="accent2" w:themeFillTint="97"/>
      </w:tcPr>
    </w:tblStylePr>
    <w:tblStylePr w:type="lastRow">
      <w:rPr>
        <w:sz w:val="22"/>
      </w:rPr>
      <w:tcPr>
        <w:shd w:val="clear" w:color="ffffff" w:fill="d99694" w:themeFill="accent2" w:themeFillTint="97"/>
      </w:tcPr>
    </w:tblStylePr>
  </w:style>
  <w:style w:type="table" w:styleId="906">
    <w:name w:val="Lined - Accent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af0dd" w:themeFill="accent3" w:themeFillTint="34"/>
      </w:tcPr>
    </w:tblStylePr>
    <w:tblStylePr w:type="band2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sz w:val="22"/>
      </w:rPr>
      <w:tcPr>
        <w:shd w:val="clear" w:color="ffffff" w:fill="9bba59" w:themeFill="accent3" w:themeFillTint="FE"/>
      </w:tcPr>
    </w:tblStylePr>
    <w:tblStylePr w:type="firstRow">
      <w:rPr>
        <w:sz w:val="22"/>
      </w:rPr>
      <w:tcPr>
        <w:shd w:val="clear" w:color="ffffff" w:fill="9bba59" w:themeFill="accent3" w:themeFillTint="FE"/>
      </w:tcPr>
    </w:tblStylePr>
    <w:tblStylePr w:type="lastCol">
      <w:rPr>
        <w:sz w:val="22"/>
      </w:rPr>
      <w:tcPr>
        <w:shd w:val="clear" w:color="ffffff" w:fill="9bba59" w:themeFill="accent3" w:themeFillTint="FE"/>
      </w:tcPr>
    </w:tblStylePr>
    <w:tblStylePr w:type="lastRow">
      <w:rPr>
        <w:sz w:val="22"/>
      </w:rPr>
      <w:tcPr>
        <w:shd w:val="clear" w:color="ffffff" w:fill="9bba59" w:themeFill="accent3" w:themeFillTint="FE"/>
      </w:tcPr>
    </w:tblStylePr>
  </w:style>
  <w:style w:type="table" w:styleId="907">
    <w:name w:val="Lined - Accent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5dfec" w:themeFill="accent4" w:themeFillTint="34"/>
      </w:tcPr>
    </w:tblStylePr>
    <w:tblStylePr w:type="band2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sz w:val="22"/>
      </w:rPr>
      <w:tcPr>
        <w:shd w:val="clear" w:color="ffffff" w:fill="b2a1c6" w:themeFill="accent4" w:themeFillTint="9A"/>
      </w:tcPr>
    </w:tblStylePr>
    <w:tblStylePr w:type="firstRow">
      <w:rPr>
        <w:sz w:val="22"/>
      </w:rPr>
      <w:tcPr>
        <w:shd w:val="clear" w:color="ffffff" w:fill="b2a1c6" w:themeFill="accent4" w:themeFillTint="9A"/>
      </w:tcPr>
    </w:tblStylePr>
    <w:tblStylePr w:type="lastCol">
      <w:rPr>
        <w:sz w:val="22"/>
      </w:rPr>
      <w:tcPr>
        <w:shd w:val="clear" w:color="ffffff" w:fill="b2a1c6" w:themeFill="accent4" w:themeFillTint="9A"/>
      </w:tcPr>
    </w:tblStylePr>
    <w:tblStylePr w:type="lastRow">
      <w:rPr>
        <w:sz w:val="22"/>
      </w:rPr>
      <w:tcPr>
        <w:shd w:val="clear" w:color="ffffff" w:fill="b2a1c6" w:themeFill="accent4" w:themeFillTint="9A"/>
      </w:tcPr>
    </w:tblStylePr>
  </w:style>
  <w:style w:type="table" w:styleId="908">
    <w:name w:val="Lined - Accent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aeef3" w:themeFill="accent5" w:themeFillTint="34"/>
      </w:tcPr>
    </w:tblStylePr>
    <w:tblStylePr w:type="band2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sz w:val="22"/>
      </w:rPr>
      <w:tcPr>
        <w:shd w:val="clear" w:color="ffffff" w:fill="4bacc6" w:themeFill="accent5"/>
      </w:tcPr>
    </w:tblStylePr>
    <w:tblStylePr w:type="firstRow">
      <w:rPr>
        <w:sz w:val="22"/>
      </w:rPr>
      <w:tcPr>
        <w:shd w:val="clear" w:color="ffffff" w:fill="4bacc6" w:themeFill="accent5"/>
      </w:tcPr>
    </w:tblStylePr>
    <w:tblStylePr w:type="lastCol">
      <w:rPr>
        <w:sz w:val="22"/>
      </w:rPr>
      <w:tcPr>
        <w:shd w:val="clear" w:color="ffffff" w:fill="4bacc6" w:themeFill="accent5"/>
      </w:tcPr>
    </w:tblStylePr>
    <w:tblStylePr w:type="lastRow">
      <w:rPr>
        <w:sz w:val="22"/>
      </w:rPr>
      <w:tcPr>
        <w:shd w:val="clear" w:color="ffffff" w:fill="4bacc6" w:themeFill="accent5"/>
      </w:tcPr>
    </w:tblStylePr>
  </w:style>
  <w:style w:type="table" w:styleId="909">
    <w:name w:val="Lined - Accent 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de9d8" w:themeFill="accent6" w:themeFillTint="34"/>
      </w:tcPr>
    </w:tblStylePr>
    <w:tblStylePr w:type="band2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sz w:val="22"/>
      </w:rPr>
      <w:tcPr>
        <w:shd w:val="clear" w:color="ffffff" w:fill="f79646" w:themeFill="accent6"/>
      </w:tcPr>
    </w:tblStylePr>
    <w:tblStylePr w:type="firstRow">
      <w:rPr>
        <w:sz w:val="22"/>
      </w:rPr>
      <w:tcPr>
        <w:shd w:val="clear" w:color="ffffff" w:fill="f79646" w:themeFill="accent6"/>
      </w:tcPr>
    </w:tblStylePr>
    <w:tblStylePr w:type="lastCol">
      <w:rPr>
        <w:sz w:val="22"/>
      </w:rPr>
      <w:tcPr>
        <w:shd w:val="clear" w:color="ffffff" w:fill="f79646" w:themeFill="accent6"/>
      </w:tcPr>
    </w:tblStylePr>
    <w:tblStylePr w:type="lastRow">
      <w:rPr>
        <w:sz w:val="22"/>
      </w:rPr>
      <w:tcPr>
        <w:shd w:val="clear" w:color="ffffff" w:fill="f79646" w:themeFill="accent6"/>
      </w:tcPr>
    </w:tblStylePr>
  </w:style>
  <w:style w:type="table" w:styleId="910">
    <w:name w:val="Bordered &amp; Lined - Accent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f2f2" w:themeFill="text1" w:themeFillTint="00"/>
      </w:tcPr>
    </w:tblStylePr>
    <w:tblStylePr w:type="band2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</w:style>
  <w:style w:type="table" w:styleId="911">
    <w:name w:val="Bordered &amp; Lined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7d7ea" w:themeFill="accent1" w:themeFillTint="50"/>
      </w:tcPr>
    </w:tblStylePr>
    <w:tblStylePr w:type="band2Vert">
      <w:rPr>
        <w:sz w:val="22"/>
      </w:rPr>
      <w:tcPr>
        <w:shd w:val="clear" w:color="ffffff" w:fill="c7d7ea" w:themeFill="accent1" w:themeFillTint="50"/>
      </w:tcPr>
    </w:tblStylePr>
    <w:tblStylePr w:type="firstCol">
      <w:rPr>
        <w:sz w:val="22"/>
      </w:rPr>
      <w:tcPr>
        <w:shd w:val="clear" w:color="ffffff" w:fill="5d8dc2" w:themeFill="accent1" w:themeFillTint="EA"/>
      </w:tcPr>
    </w:tblStylePr>
    <w:tblStylePr w:type="firstRow">
      <w:rPr>
        <w:sz w:val="22"/>
      </w:rPr>
      <w:tcPr>
        <w:shd w:val="clear" w:color="ffffff" w:fill="5d8dc2" w:themeFill="accent1" w:themeFillTint="EA"/>
      </w:tcPr>
    </w:tblStylePr>
    <w:tblStylePr w:type="lastCol">
      <w:rPr>
        <w:sz w:val="22"/>
      </w:rPr>
      <w:tcPr>
        <w:shd w:val="clear" w:color="ffffff" w:fill="5d8dc2" w:themeFill="accent1" w:themeFillTint="EA"/>
      </w:tcPr>
    </w:tblStylePr>
    <w:tblStylePr w:type="lastRow">
      <w:rPr>
        <w:sz w:val="22"/>
      </w:rPr>
      <w:tcPr>
        <w:shd w:val="clear" w:color="ffffff" w:fill="5d8dc2" w:themeFill="accent1" w:themeFillTint="EA"/>
      </w:tcPr>
    </w:tblStylePr>
  </w:style>
  <w:style w:type="table" w:styleId="912">
    <w:name w:val="Bordered &amp; Lined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dcdb" w:themeFill="accent2" w:themeFillTint="32"/>
      </w:tcPr>
    </w:tblStylePr>
    <w:tblStylePr w:type="band2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sz w:val="22"/>
      </w:rPr>
      <w:tcPr>
        <w:shd w:val="clear" w:color="ffffff" w:fill="d99694" w:themeFill="accent2" w:themeFillTint="97"/>
      </w:tcPr>
    </w:tblStylePr>
    <w:tblStylePr w:type="firstRow">
      <w:rPr>
        <w:sz w:val="22"/>
      </w:rPr>
      <w:tcPr>
        <w:shd w:val="clear" w:color="ffffff" w:fill="d99694" w:themeFill="accent2" w:themeFillTint="97"/>
      </w:tcPr>
    </w:tblStylePr>
    <w:tblStylePr w:type="lastCol">
      <w:rPr>
        <w:sz w:val="22"/>
      </w:rPr>
      <w:tcPr>
        <w:shd w:val="clear" w:color="ffffff" w:fill="d99694" w:themeFill="accent2" w:themeFillTint="97"/>
      </w:tcPr>
    </w:tblStylePr>
    <w:tblStylePr w:type="lastRow">
      <w:rPr>
        <w:sz w:val="22"/>
      </w:rPr>
      <w:tcPr>
        <w:shd w:val="clear" w:color="ffffff" w:fill="d99694" w:themeFill="accent2" w:themeFillTint="97"/>
      </w:tcPr>
    </w:tblStylePr>
  </w:style>
  <w:style w:type="table" w:styleId="913">
    <w:name w:val="Bordered &amp; Lined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af0dd" w:themeFill="accent3" w:themeFillTint="34"/>
      </w:tcPr>
    </w:tblStylePr>
    <w:tblStylePr w:type="band2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sz w:val="22"/>
      </w:rPr>
      <w:tcPr>
        <w:shd w:val="clear" w:color="ffffff" w:fill="9bba59" w:themeFill="accent3" w:themeFillTint="FE"/>
      </w:tcPr>
    </w:tblStylePr>
    <w:tblStylePr w:type="firstRow">
      <w:rPr>
        <w:sz w:val="22"/>
      </w:rPr>
      <w:tcPr>
        <w:shd w:val="clear" w:color="ffffff" w:fill="9bba59" w:themeFill="accent3" w:themeFillTint="FE"/>
      </w:tcPr>
    </w:tblStylePr>
    <w:tblStylePr w:type="lastCol">
      <w:rPr>
        <w:sz w:val="22"/>
      </w:rPr>
      <w:tcPr>
        <w:shd w:val="clear" w:color="ffffff" w:fill="9bba59" w:themeFill="accent3" w:themeFillTint="FE"/>
      </w:tcPr>
    </w:tblStylePr>
    <w:tblStylePr w:type="lastRow">
      <w:rPr>
        <w:sz w:val="22"/>
      </w:rPr>
      <w:tcPr>
        <w:shd w:val="clear" w:color="ffffff" w:fill="9bba59" w:themeFill="accent3" w:themeFillTint="FE"/>
      </w:tcPr>
    </w:tblStylePr>
  </w:style>
  <w:style w:type="table" w:styleId="914">
    <w:name w:val="Bordered &amp; Lined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5dfec" w:themeFill="accent4" w:themeFillTint="34"/>
      </w:tcPr>
    </w:tblStylePr>
    <w:tblStylePr w:type="band2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sz w:val="22"/>
      </w:rPr>
      <w:tcPr>
        <w:shd w:val="clear" w:color="ffffff" w:fill="b2a1c6" w:themeFill="accent4" w:themeFillTint="9A"/>
      </w:tcPr>
    </w:tblStylePr>
    <w:tblStylePr w:type="firstRow">
      <w:rPr>
        <w:sz w:val="22"/>
      </w:rPr>
      <w:tcPr>
        <w:shd w:val="clear" w:color="ffffff" w:fill="b2a1c6" w:themeFill="accent4" w:themeFillTint="9A"/>
      </w:tcPr>
    </w:tblStylePr>
    <w:tblStylePr w:type="lastCol">
      <w:rPr>
        <w:sz w:val="22"/>
      </w:rPr>
      <w:tcPr>
        <w:shd w:val="clear" w:color="ffffff" w:fill="b2a1c6" w:themeFill="accent4" w:themeFillTint="9A"/>
      </w:tcPr>
    </w:tblStylePr>
    <w:tblStylePr w:type="lastRow">
      <w:rPr>
        <w:sz w:val="22"/>
      </w:rPr>
      <w:tcPr>
        <w:shd w:val="clear" w:color="ffffff" w:fill="b2a1c6" w:themeFill="accent4" w:themeFillTint="9A"/>
      </w:tcPr>
    </w:tblStylePr>
  </w:style>
  <w:style w:type="table" w:styleId="915">
    <w:name w:val="Bordered &amp; Lined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aeef3" w:themeFill="accent5" w:themeFillTint="34"/>
      </w:tcPr>
    </w:tblStylePr>
    <w:tblStylePr w:type="band2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sz w:val="22"/>
      </w:rPr>
      <w:tcPr>
        <w:shd w:val="clear" w:color="ffffff" w:fill="4bacc6" w:themeFill="accent5"/>
      </w:tcPr>
    </w:tblStylePr>
    <w:tblStylePr w:type="firstRow">
      <w:rPr>
        <w:sz w:val="22"/>
      </w:rPr>
      <w:tcPr>
        <w:shd w:val="clear" w:color="ffffff" w:fill="4bacc6" w:themeFill="accent5"/>
      </w:tcPr>
    </w:tblStylePr>
    <w:tblStylePr w:type="lastCol">
      <w:rPr>
        <w:sz w:val="22"/>
      </w:rPr>
      <w:tcPr>
        <w:shd w:val="clear" w:color="ffffff" w:fill="4bacc6" w:themeFill="accent5"/>
      </w:tcPr>
    </w:tblStylePr>
    <w:tblStylePr w:type="lastRow">
      <w:rPr>
        <w:sz w:val="22"/>
      </w:rPr>
      <w:tcPr>
        <w:shd w:val="clear" w:color="ffffff" w:fill="4bacc6" w:themeFill="accent5"/>
      </w:tcPr>
    </w:tblStylePr>
  </w:style>
  <w:style w:type="table" w:styleId="916">
    <w:name w:val="Bordered &amp; Lined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de9d8" w:themeFill="accent6" w:themeFillTint="34"/>
      </w:tcPr>
    </w:tblStylePr>
    <w:tblStylePr w:type="band2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sz w:val="22"/>
      </w:rPr>
      <w:tcPr>
        <w:shd w:val="clear" w:color="ffffff" w:fill="f79646" w:themeFill="accent6"/>
      </w:tcPr>
    </w:tblStylePr>
    <w:tblStylePr w:type="firstRow">
      <w:rPr>
        <w:sz w:val="22"/>
      </w:rPr>
      <w:tcPr>
        <w:shd w:val="clear" w:color="ffffff" w:fill="f79646" w:themeFill="accent6"/>
      </w:tcPr>
    </w:tblStylePr>
    <w:tblStylePr w:type="lastCol">
      <w:rPr>
        <w:sz w:val="22"/>
      </w:rPr>
      <w:tcPr>
        <w:shd w:val="clear" w:color="ffffff" w:fill="f79646" w:themeFill="accent6"/>
      </w:tcPr>
    </w:tblStylePr>
    <w:tblStylePr w:type="lastRow">
      <w:rPr>
        <w:sz w:val="22"/>
      </w:rPr>
      <w:tcPr>
        <w:shd w:val="clear" w:color="ffffff" w:fill="f79646" w:themeFill="accent6"/>
      </w:tcPr>
    </w:tblStylePr>
  </w:style>
  <w:style w:type="table" w:styleId="917">
    <w:name w:val="Bordered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918">
    <w:name w:val="Bordered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19">
    <w:name w:val="Bordered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2" w:sz="12" w:space="0"/>
        </w:tcBorders>
      </w:tcPr>
    </w:tblStylePr>
  </w:style>
  <w:style w:type="table" w:styleId="920">
    <w:name w:val="Bordered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3" w:sz="12" w:space="0"/>
        </w:tcBorders>
      </w:tcPr>
    </w:tblStylePr>
  </w:style>
  <w:style w:type="table" w:styleId="921">
    <w:name w:val="Bordered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4" w:sz="12" w:space="0"/>
        </w:tcBorders>
      </w:tcPr>
    </w:tblStylePr>
  </w:style>
  <w:style w:type="table" w:styleId="922">
    <w:name w:val="Bordered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5" w:sz="12" w:space="0"/>
        </w:tcBorders>
      </w:tcPr>
    </w:tblStylePr>
  </w:style>
  <w:style w:type="table" w:styleId="923">
    <w:name w:val="Bordered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6" w:sz="12" w:space="0"/>
        </w:tcBorders>
      </w:tcPr>
    </w:tblStylePr>
  </w:style>
  <w:style w:type="table" w:styleId="924" w:default="1">
    <w:name w:val="Normal Table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image" Target="media/image1.png"/><Relationship Id="rId9" Type="http://schemas.openxmlformats.org/officeDocument/2006/relationships/hyperlink" Target="https://login.consultant.ru/link/?req=doc&amp;base=LAW&amp;n=401404&amp;dst=100010&amp;field=134&amp;date=02.09.2025" TargetMode="External"/><Relationship Id="rId10" Type="http://schemas.openxmlformats.org/officeDocument/2006/relationships/hyperlink" Target="https://login.consultant.ru/link/?req=doc&amp;base=LAW&amp;n=353498&amp;dst=100074&amp;field=134&amp;date=03.09.2025" TargetMode="External"/><Relationship Id="rId11" Type="http://schemas.openxmlformats.org/officeDocument/2006/relationships/hyperlink" Target="https://login.consultant.ru/link/?req=doc&amp;base=LAW&amp;n=194066" TargetMode="External"/><Relationship Id="rId12" Type="http://schemas.openxmlformats.org/officeDocument/2006/relationships/hyperlink" Target="https://login.consultant.ru/link/?req=doc&amp;base=LAW&amp;n=154292" TargetMode="External"/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 pitchFamily="0" charset="1"/>
        <a:ea typeface="Arial" pitchFamily="0" charset="1"/>
        <a:cs typeface="Arial" pitchFamily="0" charset="1"/>
      </a:majorFont>
      <a:minorFont>
        <a:latin typeface="Arial" pitchFamily="0" charset="1"/>
        <a:ea typeface="Arial" pitchFamily="0" charset="1"/>
        <a:cs typeface="Arial" pitchFamily="0" charset="1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/>
        <a:ln w="25400"/>
        <a:ln w="38100"/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haracters>47154</Characters>
  <CharactersWithSpaces>53874</CharactersWithSpaces>
  <Pages>12</Pages>
  <Paragraphs>243</Paragraphs>
  <Template>Normal</Template>
  <TotalTime>0</TotalTime>
  <Words>6404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 ЭНЕРГОСНАБЖЕНИЯ</dc:title>
  <dc:subject/>
  <dc:creator>DorofeyevAU</dc:creator>
  <dc:description/>
  <dc:language>ru-RU</dc:language>
  <cp:lastModifiedBy/>
  <cp:revision>46</cp:revision>
  <dcterms:created xsi:type="dcterms:W3CDTF">2021-07-21T08:35:00Z</dcterms:created>
  <dcterms:modified xsi:type="dcterms:W3CDTF">2025-09-23T10:06:53Z</dcterms:modified>
</cp:coreProperties>
</file>